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5" w:rsidRPr="00FE4B89" w:rsidRDefault="007A7E45" w:rsidP="00FE4B89"/>
    <w:p w:rsidR="009520A9" w:rsidRDefault="00770482">
      <w:pPr>
        <w:pStyle w:val="Heading2"/>
      </w:pPr>
      <w:r>
        <w:t>08091 Agencije i ostale javne ustanove u znanosti i obrazovanju</w:t>
      </w:r>
    </w:p>
    <w:tbl>
      <w:tblPr>
        <w:tblStyle w:val="StilTablice"/>
        <w:tblW w:w="10206" w:type="dxa"/>
        <w:jc w:val="center"/>
        <w:tblLook w:val="04A0" w:firstRow="1" w:lastRow="0" w:firstColumn="1" w:lastColumn="0" w:noHBand="0" w:noVBand="1"/>
      </w:tblPr>
      <w:tblGrid>
        <w:gridCol w:w="1426"/>
        <w:gridCol w:w="1562"/>
        <w:gridCol w:w="1562"/>
        <w:gridCol w:w="1562"/>
        <w:gridCol w:w="1562"/>
        <w:gridCol w:w="1562"/>
        <w:gridCol w:w="970"/>
      </w:tblGrid>
      <w:tr w:rsidR="009520A9">
        <w:trPr>
          <w:jc w:val="center"/>
        </w:trPr>
        <w:tc>
          <w:tcPr>
            <w:tcW w:w="1530" w:type="dxa"/>
            <w:shd w:val="clear" w:color="auto" w:fill="B5C0D8"/>
          </w:tcPr>
          <w:p w:rsidR="009520A9" w:rsidRDefault="009520A9">
            <w:pPr>
              <w:pStyle w:val="CellHeader"/>
              <w:jc w:val="center"/>
            </w:pP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21836</w:t>
            </w:r>
          </w:p>
        </w:tc>
        <w:tc>
          <w:tcPr>
            <w:tcW w:w="1632" w:type="dxa"/>
            <w:vAlign w:val="top"/>
          </w:tcPr>
          <w:p w:rsidR="009520A9" w:rsidRDefault="00770482">
            <w:pPr>
              <w:jc w:val="right"/>
            </w:pPr>
            <w:r>
              <w:t>11.912.702</w:t>
            </w:r>
          </w:p>
        </w:tc>
        <w:tc>
          <w:tcPr>
            <w:tcW w:w="1632" w:type="dxa"/>
            <w:vAlign w:val="top"/>
          </w:tcPr>
          <w:p w:rsidR="009520A9" w:rsidRDefault="00770482">
            <w:pPr>
              <w:jc w:val="right"/>
            </w:pPr>
            <w:r>
              <w:t>15.684.311</w:t>
            </w:r>
          </w:p>
        </w:tc>
        <w:tc>
          <w:tcPr>
            <w:tcW w:w="1632" w:type="dxa"/>
            <w:vAlign w:val="top"/>
          </w:tcPr>
          <w:p w:rsidR="009520A9" w:rsidRDefault="00770482">
            <w:pPr>
              <w:jc w:val="right"/>
            </w:pPr>
            <w:r>
              <w:t>18.196.894</w:t>
            </w:r>
          </w:p>
        </w:tc>
        <w:tc>
          <w:tcPr>
            <w:tcW w:w="1632" w:type="dxa"/>
            <w:vAlign w:val="top"/>
          </w:tcPr>
          <w:p w:rsidR="009520A9" w:rsidRDefault="00770482">
            <w:pPr>
              <w:jc w:val="right"/>
            </w:pPr>
            <w:r>
              <w:t>19.026.774</w:t>
            </w:r>
          </w:p>
        </w:tc>
        <w:tc>
          <w:tcPr>
            <w:tcW w:w="1632" w:type="dxa"/>
            <w:vAlign w:val="top"/>
          </w:tcPr>
          <w:p w:rsidR="009520A9" w:rsidRDefault="00770482">
            <w:pPr>
              <w:jc w:val="right"/>
            </w:pPr>
            <w:r>
              <w:t>19.285.848</w:t>
            </w:r>
          </w:p>
        </w:tc>
        <w:tc>
          <w:tcPr>
            <w:tcW w:w="510" w:type="dxa"/>
            <w:vAlign w:val="top"/>
          </w:tcPr>
          <w:p w:rsidR="009520A9" w:rsidRDefault="00770482">
            <w:pPr>
              <w:jc w:val="right"/>
            </w:pPr>
            <w:r>
              <w:t>116,0</w:t>
            </w:r>
          </w:p>
        </w:tc>
      </w:tr>
      <w:tr w:rsidR="009520A9">
        <w:trPr>
          <w:jc w:val="center"/>
        </w:trPr>
        <w:tc>
          <w:tcPr>
            <w:tcW w:w="1530" w:type="dxa"/>
            <w:vAlign w:val="top"/>
          </w:tcPr>
          <w:p w:rsidR="009520A9" w:rsidRDefault="00770482">
            <w:pPr>
              <w:pStyle w:val="CellColumn"/>
              <w:jc w:val="left"/>
            </w:pPr>
            <w:r>
              <w:rPr>
                <w:rFonts w:cs="Times New Roman"/>
              </w:rPr>
              <w:t>21852</w:t>
            </w:r>
          </w:p>
        </w:tc>
        <w:tc>
          <w:tcPr>
            <w:tcW w:w="1632" w:type="dxa"/>
            <w:vAlign w:val="top"/>
          </w:tcPr>
          <w:p w:rsidR="009520A9" w:rsidRDefault="00770482">
            <w:pPr>
              <w:jc w:val="right"/>
            </w:pPr>
            <w:r>
              <w:t>33.713.960</w:t>
            </w:r>
          </w:p>
        </w:tc>
        <w:tc>
          <w:tcPr>
            <w:tcW w:w="1632" w:type="dxa"/>
            <w:vAlign w:val="top"/>
          </w:tcPr>
          <w:p w:rsidR="009520A9" w:rsidRDefault="00770482">
            <w:pPr>
              <w:jc w:val="right"/>
            </w:pPr>
            <w:r>
              <w:t>99.084.522</w:t>
            </w:r>
          </w:p>
        </w:tc>
        <w:tc>
          <w:tcPr>
            <w:tcW w:w="1632" w:type="dxa"/>
            <w:vAlign w:val="top"/>
          </w:tcPr>
          <w:p w:rsidR="009520A9" w:rsidRDefault="00770482">
            <w:pPr>
              <w:jc w:val="right"/>
            </w:pPr>
            <w:r>
              <w:t>56.126.913</w:t>
            </w:r>
          </w:p>
        </w:tc>
        <w:tc>
          <w:tcPr>
            <w:tcW w:w="1632" w:type="dxa"/>
            <w:vAlign w:val="top"/>
          </w:tcPr>
          <w:p w:rsidR="009520A9" w:rsidRDefault="00770482">
            <w:pPr>
              <w:jc w:val="right"/>
            </w:pPr>
            <w:r>
              <w:t>66.425.417</w:t>
            </w:r>
          </w:p>
        </w:tc>
        <w:tc>
          <w:tcPr>
            <w:tcW w:w="1632" w:type="dxa"/>
            <w:vAlign w:val="top"/>
          </w:tcPr>
          <w:p w:rsidR="009520A9" w:rsidRDefault="00770482">
            <w:pPr>
              <w:jc w:val="right"/>
            </w:pPr>
            <w:r>
              <w:t>24.822.602</w:t>
            </w:r>
          </w:p>
        </w:tc>
        <w:tc>
          <w:tcPr>
            <w:tcW w:w="510" w:type="dxa"/>
            <w:vAlign w:val="top"/>
          </w:tcPr>
          <w:p w:rsidR="009520A9" w:rsidRDefault="00770482">
            <w:pPr>
              <w:jc w:val="right"/>
            </w:pPr>
            <w:r>
              <w:t>56,6</w:t>
            </w:r>
          </w:p>
        </w:tc>
      </w:tr>
      <w:tr w:rsidR="009520A9">
        <w:trPr>
          <w:jc w:val="center"/>
        </w:trPr>
        <w:tc>
          <w:tcPr>
            <w:tcW w:w="1530" w:type="dxa"/>
            <w:vAlign w:val="top"/>
          </w:tcPr>
          <w:p w:rsidR="009520A9" w:rsidRDefault="00770482">
            <w:pPr>
              <w:pStyle w:val="CellColumn"/>
              <w:jc w:val="left"/>
            </w:pPr>
            <w:r>
              <w:rPr>
                <w:rFonts w:cs="Times New Roman"/>
              </w:rPr>
              <w:t>21869</w:t>
            </w:r>
          </w:p>
        </w:tc>
        <w:tc>
          <w:tcPr>
            <w:tcW w:w="1632" w:type="dxa"/>
            <w:vAlign w:val="top"/>
          </w:tcPr>
          <w:p w:rsidR="009520A9" w:rsidRDefault="00770482">
            <w:pPr>
              <w:jc w:val="right"/>
            </w:pPr>
            <w:r>
              <w:t>3.340.812</w:t>
            </w:r>
          </w:p>
        </w:tc>
        <w:tc>
          <w:tcPr>
            <w:tcW w:w="1632" w:type="dxa"/>
            <w:vAlign w:val="top"/>
          </w:tcPr>
          <w:p w:rsidR="009520A9" w:rsidRDefault="00770482">
            <w:pPr>
              <w:jc w:val="right"/>
            </w:pPr>
            <w:r>
              <w:t>4.042.090</w:t>
            </w:r>
          </w:p>
        </w:tc>
        <w:tc>
          <w:tcPr>
            <w:tcW w:w="1632" w:type="dxa"/>
            <w:vAlign w:val="top"/>
          </w:tcPr>
          <w:p w:rsidR="009520A9" w:rsidRDefault="00770482">
            <w:pPr>
              <w:jc w:val="right"/>
            </w:pPr>
            <w:r>
              <w:t>4.486.302</w:t>
            </w:r>
          </w:p>
        </w:tc>
        <w:tc>
          <w:tcPr>
            <w:tcW w:w="1632" w:type="dxa"/>
            <w:vAlign w:val="top"/>
          </w:tcPr>
          <w:p w:rsidR="009520A9" w:rsidRDefault="00770482">
            <w:pPr>
              <w:jc w:val="right"/>
            </w:pPr>
            <w:r>
              <w:t>4.394.912</w:t>
            </w:r>
          </w:p>
        </w:tc>
        <w:tc>
          <w:tcPr>
            <w:tcW w:w="1632" w:type="dxa"/>
            <w:vAlign w:val="top"/>
          </w:tcPr>
          <w:p w:rsidR="009520A9" w:rsidRDefault="00770482">
            <w:pPr>
              <w:jc w:val="right"/>
            </w:pPr>
            <w:r>
              <w:t>4.392.001</w:t>
            </w:r>
          </w:p>
        </w:tc>
        <w:tc>
          <w:tcPr>
            <w:tcW w:w="510" w:type="dxa"/>
            <w:vAlign w:val="top"/>
          </w:tcPr>
          <w:p w:rsidR="009520A9" w:rsidRDefault="00770482">
            <w:pPr>
              <w:jc w:val="right"/>
            </w:pPr>
            <w:r>
              <w:t>111,0</w:t>
            </w:r>
          </w:p>
        </w:tc>
      </w:tr>
      <w:tr w:rsidR="009520A9">
        <w:trPr>
          <w:jc w:val="center"/>
        </w:trPr>
        <w:tc>
          <w:tcPr>
            <w:tcW w:w="1530" w:type="dxa"/>
            <w:vAlign w:val="top"/>
          </w:tcPr>
          <w:p w:rsidR="009520A9" w:rsidRDefault="00770482">
            <w:pPr>
              <w:pStyle w:val="CellColumn"/>
              <w:jc w:val="left"/>
            </w:pPr>
            <w:r>
              <w:rPr>
                <w:rFonts w:cs="Times New Roman"/>
              </w:rPr>
              <w:t>23665</w:t>
            </w:r>
          </w:p>
        </w:tc>
        <w:tc>
          <w:tcPr>
            <w:tcW w:w="1632" w:type="dxa"/>
            <w:vAlign w:val="top"/>
          </w:tcPr>
          <w:p w:rsidR="009520A9" w:rsidRDefault="00770482">
            <w:pPr>
              <w:jc w:val="right"/>
            </w:pPr>
            <w:r>
              <w:t>22.052.317</w:t>
            </w:r>
          </w:p>
        </w:tc>
        <w:tc>
          <w:tcPr>
            <w:tcW w:w="1632" w:type="dxa"/>
            <w:vAlign w:val="top"/>
          </w:tcPr>
          <w:p w:rsidR="009520A9" w:rsidRDefault="00770482">
            <w:pPr>
              <w:jc w:val="right"/>
            </w:pPr>
            <w:r>
              <w:t>12.256.853</w:t>
            </w:r>
          </w:p>
        </w:tc>
        <w:tc>
          <w:tcPr>
            <w:tcW w:w="1632" w:type="dxa"/>
            <w:vAlign w:val="top"/>
          </w:tcPr>
          <w:p w:rsidR="009520A9" w:rsidRDefault="00770482">
            <w:pPr>
              <w:jc w:val="right"/>
            </w:pPr>
            <w:r>
              <w:t>11.408.154</w:t>
            </w:r>
          </w:p>
        </w:tc>
        <w:tc>
          <w:tcPr>
            <w:tcW w:w="1632" w:type="dxa"/>
            <w:vAlign w:val="top"/>
          </w:tcPr>
          <w:p w:rsidR="009520A9" w:rsidRDefault="00770482">
            <w:pPr>
              <w:jc w:val="right"/>
            </w:pPr>
            <w:r>
              <w:t>11.538.007</w:t>
            </w:r>
          </w:p>
        </w:tc>
        <w:tc>
          <w:tcPr>
            <w:tcW w:w="1632" w:type="dxa"/>
            <w:vAlign w:val="top"/>
          </w:tcPr>
          <w:p w:rsidR="009520A9" w:rsidRDefault="00770482">
            <w:pPr>
              <w:jc w:val="right"/>
            </w:pPr>
            <w:r>
              <w:t>10.103.964</w:t>
            </w:r>
          </w:p>
        </w:tc>
        <w:tc>
          <w:tcPr>
            <w:tcW w:w="510" w:type="dxa"/>
            <w:vAlign w:val="top"/>
          </w:tcPr>
          <w:p w:rsidR="009520A9" w:rsidRDefault="00770482">
            <w:pPr>
              <w:jc w:val="right"/>
            </w:pPr>
            <w:r>
              <w:t>93,1</w:t>
            </w:r>
          </w:p>
        </w:tc>
      </w:tr>
      <w:tr w:rsidR="009520A9">
        <w:trPr>
          <w:jc w:val="center"/>
        </w:trPr>
        <w:tc>
          <w:tcPr>
            <w:tcW w:w="1530" w:type="dxa"/>
            <w:vAlign w:val="top"/>
          </w:tcPr>
          <w:p w:rsidR="009520A9" w:rsidRDefault="00770482">
            <w:pPr>
              <w:pStyle w:val="CellColumn"/>
              <w:jc w:val="left"/>
            </w:pPr>
            <w:r>
              <w:rPr>
                <w:rFonts w:cs="Times New Roman"/>
              </w:rPr>
              <w:t>23962</w:t>
            </w:r>
          </w:p>
        </w:tc>
        <w:tc>
          <w:tcPr>
            <w:tcW w:w="1632" w:type="dxa"/>
            <w:vAlign w:val="top"/>
          </w:tcPr>
          <w:p w:rsidR="009520A9" w:rsidRDefault="00770482">
            <w:pPr>
              <w:jc w:val="right"/>
            </w:pPr>
            <w:r>
              <w:t>4.911.080</w:t>
            </w:r>
          </w:p>
        </w:tc>
        <w:tc>
          <w:tcPr>
            <w:tcW w:w="1632" w:type="dxa"/>
            <w:vAlign w:val="top"/>
          </w:tcPr>
          <w:p w:rsidR="009520A9" w:rsidRDefault="00770482">
            <w:pPr>
              <w:jc w:val="right"/>
            </w:pPr>
            <w:r>
              <w:t>5.898.811</w:t>
            </w:r>
          </w:p>
        </w:tc>
        <w:tc>
          <w:tcPr>
            <w:tcW w:w="1632" w:type="dxa"/>
            <w:vAlign w:val="top"/>
          </w:tcPr>
          <w:p w:rsidR="009520A9" w:rsidRDefault="00770482">
            <w:pPr>
              <w:jc w:val="right"/>
            </w:pPr>
            <w:r>
              <w:t>14.165.839</w:t>
            </w:r>
          </w:p>
        </w:tc>
        <w:tc>
          <w:tcPr>
            <w:tcW w:w="1632" w:type="dxa"/>
            <w:vAlign w:val="top"/>
          </w:tcPr>
          <w:p w:rsidR="009520A9" w:rsidRDefault="00770482">
            <w:pPr>
              <w:jc w:val="right"/>
            </w:pPr>
            <w:r>
              <w:t>14.565.338</w:t>
            </w:r>
          </w:p>
        </w:tc>
        <w:tc>
          <w:tcPr>
            <w:tcW w:w="1632" w:type="dxa"/>
            <w:vAlign w:val="top"/>
          </w:tcPr>
          <w:p w:rsidR="009520A9" w:rsidRDefault="00770482">
            <w:pPr>
              <w:jc w:val="right"/>
            </w:pPr>
            <w:r>
              <w:t>14.565.338</w:t>
            </w:r>
          </w:p>
        </w:tc>
        <w:tc>
          <w:tcPr>
            <w:tcW w:w="510" w:type="dxa"/>
            <w:vAlign w:val="top"/>
          </w:tcPr>
          <w:p w:rsidR="009520A9" w:rsidRDefault="00770482">
            <w:pPr>
              <w:jc w:val="right"/>
            </w:pPr>
            <w:r>
              <w:t>240,1</w:t>
            </w:r>
          </w:p>
        </w:tc>
      </w:tr>
      <w:tr w:rsidR="009520A9">
        <w:trPr>
          <w:jc w:val="center"/>
        </w:trPr>
        <w:tc>
          <w:tcPr>
            <w:tcW w:w="1530" w:type="dxa"/>
            <w:vAlign w:val="top"/>
          </w:tcPr>
          <w:p w:rsidR="009520A9" w:rsidRDefault="00770482">
            <w:pPr>
              <w:pStyle w:val="CellColumn"/>
              <w:jc w:val="left"/>
            </w:pPr>
            <w:r>
              <w:rPr>
                <w:rFonts w:cs="Times New Roman"/>
              </w:rPr>
              <w:t>38487</w:t>
            </w:r>
          </w:p>
        </w:tc>
        <w:tc>
          <w:tcPr>
            <w:tcW w:w="1632" w:type="dxa"/>
            <w:vAlign w:val="top"/>
          </w:tcPr>
          <w:p w:rsidR="009520A9" w:rsidRDefault="00770482">
            <w:pPr>
              <w:jc w:val="right"/>
            </w:pPr>
            <w:r>
              <w:t>2.697.825</w:t>
            </w:r>
          </w:p>
        </w:tc>
        <w:tc>
          <w:tcPr>
            <w:tcW w:w="1632" w:type="dxa"/>
            <w:vAlign w:val="top"/>
          </w:tcPr>
          <w:p w:rsidR="009520A9" w:rsidRDefault="00770482">
            <w:pPr>
              <w:jc w:val="right"/>
            </w:pPr>
            <w:r>
              <w:t>4.357.897</w:t>
            </w:r>
          </w:p>
        </w:tc>
        <w:tc>
          <w:tcPr>
            <w:tcW w:w="1632" w:type="dxa"/>
            <w:vAlign w:val="top"/>
          </w:tcPr>
          <w:p w:rsidR="009520A9" w:rsidRDefault="00770482">
            <w:pPr>
              <w:jc w:val="right"/>
            </w:pPr>
            <w:r>
              <w:t>4.897.206</w:t>
            </w:r>
          </w:p>
        </w:tc>
        <w:tc>
          <w:tcPr>
            <w:tcW w:w="1632" w:type="dxa"/>
            <w:vAlign w:val="top"/>
          </w:tcPr>
          <w:p w:rsidR="009520A9" w:rsidRDefault="00770482">
            <w:pPr>
              <w:jc w:val="right"/>
            </w:pPr>
            <w:r>
              <w:t>5.262.798</w:t>
            </w:r>
          </w:p>
        </w:tc>
        <w:tc>
          <w:tcPr>
            <w:tcW w:w="1632" w:type="dxa"/>
            <w:vAlign w:val="top"/>
          </w:tcPr>
          <w:p w:rsidR="009520A9" w:rsidRDefault="00770482">
            <w:pPr>
              <w:jc w:val="right"/>
            </w:pPr>
            <w:r>
              <w:t>5.077.993</w:t>
            </w:r>
          </w:p>
        </w:tc>
        <w:tc>
          <w:tcPr>
            <w:tcW w:w="510" w:type="dxa"/>
            <w:vAlign w:val="top"/>
          </w:tcPr>
          <w:p w:rsidR="009520A9" w:rsidRDefault="00770482">
            <w:pPr>
              <w:jc w:val="right"/>
            </w:pPr>
            <w:r>
              <w:t>112,4</w:t>
            </w:r>
          </w:p>
        </w:tc>
      </w:tr>
      <w:tr w:rsidR="009520A9">
        <w:trPr>
          <w:jc w:val="center"/>
        </w:trPr>
        <w:tc>
          <w:tcPr>
            <w:tcW w:w="1530" w:type="dxa"/>
            <w:vAlign w:val="top"/>
          </w:tcPr>
          <w:p w:rsidR="009520A9" w:rsidRDefault="00770482">
            <w:pPr>
              <w:pStyle w:val="CellColumn"/>
              <w:jc w:val="left"/>
            </w:pPr>
            <w:r>
              <w:rPr>
                <w:rFonts w:cs="Times New Roman"/>
              </w:rPr>
              <w:t>40883</w:t>
            </w:r>
          </w:p>
        </w:tc>
        <w:tc>
          <w:tcPr>
            <w:tcW w:w="1632" w:type="dxa"/>
            <w:vAlign w:val="top"/>
          </w:tcPr>
          <w:p w:rsidR="009520A9" w:rsidRDefault="00770482">
            <w:pPr>
              <w:jc w:val="right"/>
            </w:pPr>
            <w:r>
              <w:t>6.625.337</w:t>
            </w:r>
          </w:p>
        </w:tc>
        <w:tc>
          <w:tcPr>
            <w:tcW w:w="1632" w:type="dxa"/>
            <w:vAlign w:val="top"/>
          </w:tcPr>
          <w:p w:rsidR="009520A9" w:rsidRDefault="00770482">
            <w:pPr>
              <w:jc w:val="right"/>
            </w:pPr>
            <w:r>
              <w:t>12.212.183</w:t>
            </w:r>
          </w:p>
        </w:tc>
        <w:tc>
          <w:tcPr>
            <w:tcW w:w="1632" w:type="dxa"/>
            <w:vAlign w:val="top"/>
          </w:tcPr>
          <w:p w:rsidR="009520A9" w:rsidRDefault="00770482">
            <w:pPr>
              <w:jc w:val="right"/>
            </w:pPr>
            <w:r>
              <w:t>11.775.663</w:t>
            </w:r>
          </w:p>
        </w:tc>
        <w:tc>
          <w:tcPr>
            <w:tcW w:w="1632" w:type="dxa"/>
            <w:vAlign w:val="top"/>
          </w:tcPr>
          <w:p w:rsidR="009520A9" w:rsidRDefault="00770482">
            <w:pPr>
              <w:jc w:val="right"/>
            </w:pPr>
            <w:r>
              <w:t>11.496.217</w:t>
            </w:r>
          </w:p>
        </w:tc>
        <w:tc>
          <w:tcPr>
            <w:tcW w:w="1632" w:type="dxa"/>
            <w:vAlign w:val="top"/>
          </w:tcPr>
          <w:p w:rsidR="009520A9" w:rsidRDefault="00770482">
            <w:pPr>
              <w:jc w:val="right"/>
            </w:pPr>
            <w:r>
              <w:t>11.483.627</w:t>
            </w:r>
          </w:p>
        </w:tc>
        <w:tc>
          <w:tcPr>
            <w:tcW w:w="510" w:type="dxa"/>
            <w:vAlign w:val="top"/>
          </w:tcPr>
          <w:p w:rsidR="009520A9" w:rsidRDefault="00770482">
            <w:pPr>
              <w:jc w:val="right"/>
            </w:pPr>
            <w:r>
              <w:t>96,4</w:t>
            </w:r>
          </w:p>
        </w:tc>
      </w:tr>
      <w:tr w:rsidR="009520A9">
        <w:trPr>
          <w:jc w:val="center"/>
        </w:trPr>
        <w:tc>
          <w:tcPr>
            <w:tcW w:w="1530" w:type="dxa"/>
            <w:vAlign w:val="top"/>
          </w:tcPr>
          <w:p w:rsidR="009520A9" w:rsidRDefault="00770482">
            <w:pPr>
              <w:pStyle w:val="CellColumn"/>
              <w:jc w:val="left"/>
            </w:pPr>
            <w:r>
              <w:rPr>
                <w:rFonts w:cs="Times New Roman"/>
              </w:rPr>
              <w:t>43335</w:t>
            </w:r>
          </w:p>
        </w:tc>
        <w:tc>
          <w:tcPr>
            <w:tcW w:w="1632" w:type="dxa"/>
            <w:vAlign w:val="top"/>
          </w:tcPr>
          <w:p w:rsidR="009520A9" w:rsidRDefault="00770482">
            <w:pPr>
              <w:jc w:val="right"/>
            </w:pPr>
            <w:r>
              <w:t>37.625.742</w:t>
            </w:r>
          </w:p>
        </w:tc>
        <w:tc>
          <w:tcPr>
            <w:tcW w:w="1632" w:type="dxa"/>
            <w:vAlign w:val="top"/>
          </w:tcPr>
          <w:p w:rsidR="009520A9" w:rsidRDefault="00770482">
            <w:pPr>
              <w:jc w:val="right"/>
            </w:pPr>
            <w:r>
              <w:t>51.985.209</w:t>
            </w:r>
          </w:p>
        </w:tc>
        <w:tc>
          <w:tcPr>
            <w:tcW w:w="1632" w:type="dxa"/>
            <w:vAlign w:val="top"/>
          </w:tcPr>
          <w:p w:rsidR="009520A9" w:rsidRDefault="00770482">
            <w:pPr>
              <w:jc w:val="right"/>
            </w:pPr>
            <w:r>
              <w:t>53.857.828</w:t>
            </w:r>
          </w:p>
        </w:tc>
        <w:tc>
          <w:tcPr>
            <w:tcW w:w="1632" w:type="dxa"/>
            <w:vAlign w:val="top"/>
          </w:tcPr>
          <w:p w:rsidR="009520A9" w:rsidRDefault="00770482">
            <w:pPr>
              <w:jc w:val="right"/>
            </w:pPr>
            <w:r>
              <w:t>54.648.045</w:t>
            </w:r>
          </w:p>
        </w:tc>
        <w:tc>
          <w:tcPr>
            <w:tcW w:w="1632" w:type="dxa"/>
            <w:vAlign w:val="top"/>
          </w:tcPr>
          <w:p w:rsidR="009520A9" w:rsidRDefault="00770482">
            <w:pPr>
              <w:jc w:val="right"/>
            </w:pPr>
            <w:r>
              <w:t>54.639.171</w:t>
            </w:r>
          </w:p>
        </w:tc>
        <w:tc>
          <w:tcPr>
            <w:tcW w:w="510" w:type="dxa"/>
            <w:vAlign w:val="top"/>
          </w:tcPr>
          <w:p w:rsidR="009520A9" w:rsidRDefault="00770482">
            <w:pPr>
              <w:jc w:val="right"/>
            </w:pPr>
            <w:r>
              <w:t>103,6</w:t>
            </w:r>
          </w:p>
        </w:tc>
      </w:tr>
      <w:tr w:rsidR="009520A9">
        <w:trPr>
          <w:jc w:val="center"/>
        </w:trPr>
        <w:tc>
          <w:tcPr>
            <w:tcW w:w="1530" w:type="dxa"/>
            <w:vAlign w:val="top"/>
          </w:tcPr>
          <w:p w:rsidR="009520A9" w:rsidRDefault="00770482">
            <w:pPr>
              <w:pStyle w:val="CellColumn"/>
              <w:jc w:val="left"/>
            </w:pPr>
            <w:r>
              <w:rPr>
                <w:rFonts w:cs="Times New Roman"/>
              </w:rPr>
              <w:t>46173</w:t>
            </w:r>
          </w:p>
        </w:tc>
        <w:tc>
          <w:tcPr>
            <w:tcW w:w="1632" w:type="dxa"/>
            <w:vAlign w:val="top"/>
          </w:tcPr>
          <w:p w:rsidR="009520A9" w:rsidRDefault="00770482">
            <w:pPr>
              <w:jc w:val="right"/>
            </w:pPr>
            <w:r>
              <w:t>7.873.682</w:t>
            </w:r>
          </w:p>
        </w:tc>
        <w:tc>
          <w:tcPr>
            <w:tcW w:w="1632" w:type="dxa"/>
            <w:vAlign w:val="top"/>
          </w:tcPr>
          <w:p w:rsidR="009520A9" w:rsidRDefault="00770482">
            <w:pPr>
              <w:jc w:val="right"/>
            </w:pPr>
            <w:r>
              <w:t>17.255.169</w:t>
            </w:r>
          </w:p>
        </w:tc>
        <w:tc>
          <w:tcPr>
            <w:tcW w:w="1632" w:type="dxa"/>
            <w:vAlign w:val="top"/>
          </w:tcPr>
          <w:p w:rsidR="009520A9" w:rsidRDefault="00770482">
            <w:pPr>
              <w:jc w:val="right"/>
            </w:pPr>
            <w:r>
              <w:t>13.616.371</w:t>
            </w:r>
          </w:p>
        </w:tc>
        <w:tc>
          <w:tcPr>
            <w:tcW w:w="1632" w:type="dxa"/>
            <w:vAlign w:val="top"/>
          </w:tcPr>
          <w:p w:rsidR="009520A9" w:rsidRDefault="00770482">
            <w:pPr>
              <w:jc w:val="right"/>
            </w:pPr>
            <w:r>
              <w:t>13.889.912</w:t>
            </w:r>
          </w:p>
        </w:tc>
        <w:tc>
          <w:tcPr>
            <w:tcW w:w="1632" w:type="dxa"/>
            <w:vAlign w:val="top"/>
          </w:tcPr>
          <w:p w:rsidR="009520A9" w:rsidRDefault="00770482">
            <w:pPr>
              <w:jc w:val="right"/>
            </w:pPr>
            <w:r>
              <w:t>13.301.292</w:t>
            </w:r>
          </w:p>
        </w:tc>
        <w:tc>
          <w:tcPr>
            <w:tcW w:w="510" w:type="dxa"/>
            <w:vAlign w:val="top"/>
          </w:tcPr>
          <w:p w:rsidR="009520A9" w:rsidRDefault="00770482">
            <w:pPr>
              <w:jc w:val="right"/>
            </w:pPr>
            <w:r>
              <w:t>78,9</w:t>
            </w:r>
          </w:p>
        </w:tc>
      </w:tr>
      <w:tr w:rsidR="009520A9">
        <w:trPr>
          <w:jc w:val="center"/>
        </w:trPr>
        <w:tc>
          <w:tcPr>
            <w:tcW w:w="1530" w:type="dxa"/>
            <w:vAlign w:val="top"/>
          </w:tcPr>
          <w:p w:rsidR="009520A9" w:rsidRDefault="00770482">
            <w:pPr>
              <w:pStyle w:val="CellColumn"/>
              <w:jc w:val="left"/>
            </w:pPr>
            <w:r>
              <w:rPr>
                <w:rFonts w:cs="Times New Roman"/>
              </w:rPr>
              <w:t>52209</w:t>
            </w:r>
          </w:p>
        </w:tc>
        <w:tc>
          <w:tcPr>
            <w:tcW w:w="1632" w:type="dxa"/>
            <w:vAlign w:val="top"/>
          </w:tcPr>
          <w:p w:rsidR="009520A9" w:rsidRDefault="00770482">
            <w:pPr>
              <w:jc w:val="right"/>
            </w:pPr>
            <w:r>
              <w:t>33.838.008</w:t>
            </w:r>
          </w:p>
        </w:tc>
        <w:tc>
          <w:tcPr>
            <w:tcW w:w="1632" w:type="dxa"/>
            <w:vAlign w:val="top"/>
          </w:tcPr>
          <w:p w:rsidR="009520A9" w:rsidRDefault="00770482">
            <w:pPr>
              <w:jc w:val="right"/>
            </w:pPr>
            <w:r>
              <w:t>30.656.017</w:t>
            </w:r>
          </w:p>
        </w:tc>
        <w:tc>
          <w:tcPr>
            <w:tcW w:w="1632" w:type="dxa"/>
            <w:vAlign w:val="top"/>
          </w:tcPr>
          <w:p w:rsidR="009520A9" w:rsidRDefault="00770482">
            <w:pPr>
              <w:jc w:val="right"/>
            </w:pPr>
            <w:r>
              <w:t>45.620.495</w:t>
            </w:r>
          </w:p>
        </w:tc>
        <w:tc>
          <w:tcPr>
            <w:tcW w:w="1632" w:type="dxa"/>
            <w:vAlign w:val="top"/>
          </w:tcPr>
          <w:p w:rsidR="009520A9" w:rsidRDefault="00770482">
            <w:pPr>
              <w:jc w:val="right"/>
            </w:pPr>
            <w:r>
              <w:t>50.612.228</w:t>
            </w:r>
          </w:p>
        </w:tc>
        <w:tc>
          <w:tcPr>
            <w:tcW w:w="1632" w:type="dxa"/>
            <w:vAlign w:val="top"/>
          </w:tcPr>
          <w:p w:rsidR="009520A9" w:rsidRDefault="00770482">
            <w:pPr>
              <w:jc w:val="right"/>
            </w:pPr>
            <w:r>
              <w:t>54.157.231</w:t>
            </w:r>
          </w:p>
        </w:tc>
        <w:tc>
          <w:tcPr>
            <w:tcW w:w="510" w:type="dxa"/>
            <w:vAlign w:val="top"/>
          </w:tcPr>
          <w:p w:rsidR="009520A9" w:rsidRDefault="00770482">
            <w:pPr>
              <w:jc w:val="right"/>
            </w:pPr>
            <w:r>
              <w:t>148,8</w:t>
            </w:r>
          </w:p>
        </w:tc>
      </w:tr>
    </w:tbl>
    <w:p w:rsidR="009520A9" w:rsidRDefault="009520A9">
      <w:pPr>
        <w:jc w:val="left"/>
      </w:pPr>
    </w:p>
    <w:p w:rsidR="009520A9" w:rsidRDefault="00770482">
      <w:pPr>
        <w:pStyle w:val="Heading2"/>
      </w:pPr>
      <w:r>
        <w:t>21836 Nacionalna i sveučilišna knjižnica</w:t>
      </w:r>
    </w:p>
    <w:p w:rsidR="009520A9" w:rsidRDefault="00770482">
      <w:r>
        <w:t>Nacionalna i sveučilišna knjižnica u Zagrebu javna je ustanova od nacionalnog značenja koja obavlja knjižničnu i informacijsku djelatnost nacionalne knjižnice Republike Hrvatske i središnje knjižnice Sveučilišta u Zagrebu. Kao nacionalna knjižnica vodeća j</w:t>
      </w:r>
      <w:r>
        <w:t>e ustanova takvog tipa u zemlji te svojom djelatnošću razvija odnose kako sa ostalim knjižnicama u Republici Hrvatskoj tako i s ostalim knjižnicama diljem svijeta. Knjižnica obavlja i znanstveno-istraživačku i razvojnu djelatnost radi unapređivanja hrvatsk</w:t>
      </w:r>
      <w:r>
        <w:t>og knjižničarstva te izgradnje i razvoja hrvatskog knjižničnog sustava. Kontinuiranim ulaganjima u aktivnosti nabavke, obnove i održavanja knjižnog fonda te svojom djelatnošću Knjižnica pruža sustavnu informacijsku podršku znanstvenoistraživačkom radu te n</w:t>
      </w:r>
      <w:r>
        <w:t>astavi u visokoškolskim ustanovama, kroz dostupnost stručne i znanstvene literature svim zainteresiranim sudionicima.</w:t>
      </w:r>
    </w:p>
    <w:tbl>
      <w:tblPr>
        <w:tblStyle w:val="StilTablice"/>
        <w:tblW w:w="10206" w:type="dxa"/>
        <w:jc w:val="center"/>
        <w:tblLook w:val="04A0" w:firstRow="1" w:lastRow="0" w:firstColumn="1" w:lastColumn="0" w:noHBand="0" w:noVBand="1"/>
      </w:tblPr>
      <w:tblGrid>
        <w:gridCol w:w="1426"/>
        <w:gridCol w:w="1562"/>
        <w:gridCol w:w="1562"/>
        <w:gridCol w:w="1562"/>
        <w:gridCol w:w="1562"/>
        <w:gridCol w:w="1562"/>
        <w:gridCol w:w="970"/>
      </w:tblGrid>
      <w:tr w:rsidR="009520A9">
        <w:trPr>
          <w:jc w:val="center"/>
        </w:trPr>
        <w:tc>
          <w:tcPr>
            <w:tcW w:w="1530" w:type="dxa"/>
            <w:shd w:val="clear" w:color="auto" w:fill="B5C0D8"/>
          </w:tcPr>
          <w:p w:rsidR="009520A9" w:rsidRDefault="009520A9">
            <w:pPr>
              <w:pStyle w:val="CellHeader"/>
              <w:jc w:val="center"/>
            </w:pP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tcPr>
          <w:p w:rsidR="009520A9" w:rsidRDefault="00770482">
            <w:pPr>
              <w:pStyle w:val="CellColumn"/>
              <w:jc w:val="left"/>
            </w:pPr>
            <w:r>
              <w:rPr>
                <w:rFonts w:cs="Times New Roman"/>
              </w:rPr>
              <w:t>21836</w:t>
            </w:r>
          </w:p>
        </w:tc>
        <w:tc>
          <w:tcPr>
            <w:tcW w:w="1632" w:type="dxa"/>
          </w:tcPr>
          <w:p w:rsidR="009520A9" w:rsidRDefault="00770482">
            <w:pPr>
              <w:jc w:val="right"/>
            </w:pPr>
            <w:r>
              <w:t>11.912.702</w:t>
            </w:r>
          </w:p>
        </w:tc>
        <w:tc>
          <w:tcPr>
            <w:tcW w:w="1632" w:type="dxa"/>
          </w:tcPr>
          <w:p w:rsidR="009520A9" w:rsidRDefault="00770482">
            <w:pPr>
              <w:jc w:val="right"/>
            </w:pPr>
            <w:r>
              <w:t>15.684.311</w:t>
            </w:r>
          </w:p>
        </w:tc>
        <w:tc>
          <w:tcPr>
            <w:tcW w:w="1632" w:type="dxa"/>
          </w:tcPr>
          <w:p w:rsidR="009520A9" w:rsidRDefault="00770482">
            <w:pPr>
              <w:jc w:val="right"/>
            </w:pPr>
            <w:r>
              <w:t>18.196.894</w:t>
            </w:r>
          </w:p>
        </w:tc>
        <w:tc>
          <w:tcPr>
            <w:tcW w:w="1632" w:type="dxa"/>
          </w:tcPr>
          <w:p w:rsidR="009520A9" w:rsidRDefault="00770482">
            <w:pPr>
              <w:jc w:val="right"/>
            </w:pPr>
            <w:r>
              <w:t>19.026.774</w:t>
            </w:r>
          </w:p>
        </w:tc>
        <w:tc>
          <w:tcPr>
            <w:tcW w:w="1632" w:type="dxa"/>
          </w:tcPr>
          <w:p w:rsidR="009520A9" w:rsidRDefault="00770482">
            <w:pPr>
              <w:jc w:val="right"/>
            </w:pPr>
            <w:r>
              <w:t>19.285.848</w:t>
            </w:r>
          </w:p>
        </w:tc>
        <w:tc>
          <w:tcPr>
            <w:tcW w:w="510" w:type="dxa"/>
          </w:tcPr>
          <w:p w:rsidR="009520A9" w:rsidRDefault="00770482">
            <w:pPr>
              <w:jc w:val="right"/>
            </w:pPr>
            <w:r>
              <w:t>116,0</w:t>
            </w:r>
          </w:p>
        </w:tc>
      </w:tr>
    </w:tbl>
    <w:p w:rsidR="009520A9" w:rsidRDefault="009520A9">
      <w:pPr>
        <w:jc w:val="left"/>
      </w:pPr>
    </w:p>
    <w:p w:rsidR="009520A9" w:rsidRDefault="00770482">
      <w:pPr>
        <w:pStyle w:val="Heading3"/>
      </w:pPr>
      <w:r>
        <w:rPr>
          <w:rFonts w:cs="Times New Roman"/>
        </w:rPr>
        <w:t>3801 ULAGANJE U ZNANSTVENO ISTRAŽIVAČKU DJELATNOST</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9520A9">
        <w:trPr>
          <w:jc w:val="center"/>
        </w:trPr>
        <w:tc>
          <w:tcPr>
            <w:tcW w:w="1530" w:type="dxa"/>
            <w:shd w:val="clear" w:color="auto" w:fill="B5C0D8"/>
          </w:tcPr>
          <w:p w:rsidR="009520A9" w:rsidRDefault="009520A9">
            <w:pPr>
              <w:pStyle w:val="CellHeader"/>
            </w:pPr>
          </w:p>
        </w:tc>
        <w:tc>
          <w:tcPr>
            <w:tcW w:w="1632" w:type="dxa"/>
            <w:shd w:val="clear" w:color="auto" w:fill="B5C0D8"/>
          </w:tcPr>
          <w:p w:rsidR="009520A9" w:rsidRDefault="00770482">
            <w:pPr>
              <w:pStyle w:val="CellHeader"/>
            </w:pPr>
            <w:r>
              <w:rPr>
                <w:rFonts w:cs="Times New Roman"/>
              </w:rPr>
              <w:t>Izvršenje 2022.</w:t>
            </w:r>
          </w:p>
        </w:tc>
        <w:tc>
          <w:tcPr>
            <w:tcW w:w="1632" w:type="dxa"/>
            <w:shd w:val="clear" w:color="auto" w:fill="B5C0D8"/>
          </w:tcPr>
          <w:p w:rsidR="009520A9" w:rsidRDefault="00770482">
            <w:pPr>
              <w:pStyle w:val="CellHeader"/>
            </w:pPr>
            <w:r>
              <w:rPr>
                <w:rFonts w:cs="Times New Roman"/>
              </w:rPr>
              <w:t>Plan 2023.</w:t>
            </w:r>
          </w:p>
        </w:tc>
        <w:tc>
          <w:tcPr>
            <w:tcW w:w="1632" w:type="dxa"/>
            <w:shd w:val="clear" w:color="auto" w:fill="B5C0D8"/>
          </w:tcPr>
          <w:p w:rsidR="009520A9" w:rsidRDefault="00770482">
            <w:pPr>
              <w:pStyle w:val="CellHeader"/>
            </w:pPr>
            <w:r>
              <w:rPr>
                <w:rFonts w:cs="Times New Roman"/>
              </w:rPr>
              <w:t>Plan 2024.</w:t>
            </w:r>
          </w:p>
        </w:tc>
        <w:tc>
          <w:tcPr>
            <w:tcW w:w="1632" w:type="dxa"/>
            <w:shd w:val="clear" w:color="auto" w:fill="B5C0D8"/>
          </w:tcPr>
          <w:p w:rsidR="009520A9" w:rsidRDefault="00770482">
            <w:pPr>
              <w:pStyle w:val="CellHeader"/>
            </w:pPr>
            <w:r>
              <w:rPr>
                <w:rFonts w:cs="Times New Roman"/>
              </w:rPr>
              <w:t>Plan 2025.</w:t>
            </w:r>
          </w:p>
        </w:tc>
        <w:tc>
          <w:tcPr>
            <w:tcW w:w="1632" w:type="dxa"/>
            <w:shd w:val="clear" w:color="auto" w:fill="B5C0D8"/>
          </w:tcPr>
          <w:p w:rsidR="009520A9" w:rsidRDefault="00770482">
            <w:pPr>
              <w:pStyle w:val="CellHead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3801</w:t>
            </w:r>
          </w:p>
        </w:tc>
        <w:tc>
          <w:tcPr>
            <w:tcW w:w="1632" w:type="dxa"/>
            <w:vAlign w:val="top"/>
          </w:tcPr>
          <w:p w:rsidR="009520A9" w:rsidRDefault="00770482">
            <w:pPr>
              <w:jc w:val="right"/>
            </w:pPr>
            <w:r>
              <w:t>11.912.702</w:t>
            </w:r>
          </w:p>
        </w:tc>
        <w:tc>
          <w:tcPr>
            <w:tcW w:w="1632" w:type="dxa"/>
            <w:vAlign w:val="top"/>
          </w:tcPr>
          <w:p w:rsidR="009520A9" w:rsidRDefault="00770482">
            <w:pPr>
              <w:jc w:val="right"/>
            </w:pPr>
            <w:r>
              <w:t>15.684.311</w:t>
            </w:r>
          </w:p>
        </w:tc>
        <w:tc>
          <w:tcPr>
            <w:tcW w:w="1632" w:type="dxa"/>
            <w:vAlign w:val="top"/>
          </w:tcPr>
          <w:p w:rsidR="009520A9" w:rsidRDefault="00770482">
            <w:pPr>
              <w:jc w:val="right"/>
            </w:pPr>
            <w:r>
              <w:t>18.196.894</w:t>
            </w:r>
          </w:p>
        </w:tc>
        <w:tc>
          <w:tcPr>
            <w:tcW w:w="1632" w:type="dxa"/>
            <w:vAlign w:val="top"/>
          </w:tcPr>
          <w:p w:rsidR="009520A9" w:rsidRDefault="00770482">
            <w:pPr>
              <w:jc w:val="right"/>
            </w:pPr>
            <w:r>
              <w:t>19.026.774</w:t>
            </w:r>
          </w:p>
        </w:tc>
        <w:tc>
          <w:tcPr>
            <w:tcW w:w="1632" w:type="dxa"/>
            <w:vAlign w:val="top"/>
          </w:tcPr>
          <w:p w:rsidR="009520A9" w:rsidRDefault="00770482">
            <w:pPr>
              <w:jc w:val="right"/>
            </w:pPr>
            <w:r>
              <w:t>19.285.848</w:t>
            </w:r>
          </w:p>
        </w:tc>
        <w:tc>
          <w:tcPr>
            <w:tcW w:w="510" w:type="dxa"/>
            <w:vAlign w:val="top"/>
          </w:tcPr>
          <w:p w:rsidR="009520A9" w:rsidRDefault="00770482">
            <w:pPr>
              <w:jc w:val="right"/>
            </w:pPr>
            <w:r>
              <w:t>116,0</w:t>
            </w:r>
          </w:p>
        </w:tc>
      </w:tr>
    </w:tbl>
    <w:p w:rsidR="009520A9" w:rsidRDefault="009520A9">
      <w:pPr>
        <w:jc w:val="left"/>
      </w:pPr>
    </w:p>
    <w:p w:rsidR="009520A9" w:rsidRDefault="00770482">
      <w:pPr>
        <w:pStyle w:val="Heading8"/>
        <w:jc w:val="left"/>
      </w:pPr>
      <w:r>
        <w:t>Cilj 1. Unaprijediti povezanost i suradnju znanstvene i visokoobrazovne zajednice s inovativnim gospodarstvom i društvom u cjelini</w:t>
      </w:r>
    </w:p>
    <w:p w:rsidR="009520A9" w:rsidRDefault="0077048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učinka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w:t>
            </w:r>
            <w:r>
              <w:rPr>
                <w:rFonts w:cs="Times New Roman"/>
              </w:rPr>
              <w:t xml:space="preserve">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Povećanje ulaganja iz privatnoga sektora u znanost i istraživanje</w:t>
            </w:r>
          </w:p>
        </w:tc>
        <w:tc>
          <w:tcPr>
            <w:tcW w:w="2245" w:type="dxa"/>
            <w:vAlign w:val="top"/>
          </w:tcPr>
          <w:p w:rsidR="009520A9" w:rsidRDefault="00770482">
            <w:pPr>
              <w:pStyle w:val="CellColumn"/>
              <w:jc w:val="left"/>
            </w:pPr>
            <w:r>
              <w:rPr>
                <w:rFonts w:cs="Times New Roman"/>
              </w:rPr>
              <w:t>Postotak izdvajanja u poslovni sektor za znanost i istraživanje</w:t>
            </w:r>
          </w:p>
        </w:tc>
        <w:tc>
          <w:tcPr>
            <w:tcW w:w="918" w:type="dxa"/>
          </w:tcPr>
          <w:p w:rsidR="009520A9" w:rsidRDefault="00770482">
            <w:pPr>
              <w:jc w:val="center"/>
            </w:pPr>
            <w:r>
              <w:t>Postotak</w:t>
            </w:r>
          </w:p>
        </w:tc>
        <w:tc>
          <w:tcPr>
            <w:tcW w:w="918" w:type="dxa"/>
          </w:tcPr>
          <w:p w:rsidR="009520A9" w:rsidRDefault="00770482">
            <w:pPr>
              <w:jc w:val="center"/>
            </w:pPr>
            <w:r>
              <w:t>54,3</w:t>
            </w:r>
          </w:p>
        </w:tc>
        <w:tc>
          <w:tcPr>
            <w:tcW w:w="918" w:type="dxa"/>
          </w:tcPr>
          <w:p w:rsidR="009520A9" w:rsidRDefault="00770482">
            <w:pPr>
              <w:pStyle w:val="CellColumn"/>
              <w:jc w:val="center"/>
            </w:pPr>
            <w:r>
              <w:rPr>
                <w:rFonts w:cs="Times New Roman"/>
              </w:rPr>
              <w:t>DZS</w:t>
            </w:r>
          </w:p>
        </w:tc>
        <w:tc>
          <w:tcPr>
            <w:tcW w:w="918" w:type="dxa"/>
          </w:tcPr>
          <w:p w:rsidR="009520A9" w:rsidRDefault="00770482">
            <w:pPr>
              <w:jc w:val="center"/>
            </w:pPr>
            <w:r>
              <w:t>54,5</w:t>
            </w:r>
          </w:p>
        </w:tc>
        <w:tc>
          <w:tcPr>
            <w:tcW w:w="918" w:type="dxa"/>
          </w:tcPr>
          <w:p w:rsidR="009520A9" w:rsidRDefault="00770482">
            <w:pPr>
              <w:jc w:val="center"/>
            </w:pPr>
            <w:r>
              <w:t>55</w:t>
            </w:r>
          </w:p>
        </w:tc>
        <w:tc>
          <w:tcPr>
            <w:tcW w:w="918" w:type="dxa"/>
          </w:tcPr>
          <w:p w:rsidR="009520A9" w:rsidRDefault="00770482">
            <w:pPr>
              <w:jc w:val="center"/>
            </w:pPr>
            <w:r>
              <w:t>56</w:t>
            </w:r>
          </w:p>
        </w:tc>
      </w:tr>
    </w:tbl>
    <w:p w:rsidR="009520A9" w:rsidRDefault="009520A9">
      <w:pPr>
        <w:jc w:val="left"/>
      </w:pPr>
    </w:p>
    <w:p w:rsidR="009520A9" w:rsidRDefault="00770482">
      <w:pPr>
        <w:pStyle w:val="Heading4"/>
      </w:pPr>
      <w:r>
        <w:t>A622017 ADMINISTRACIJA I UPRAVLJANJE NACIONALNE SVEUČILIŠNE KNJIŽNICE</w:t>
      </w:r>
    </w:p>
    <w:p w:rsidR="009520A9" w:rsidRDefault="00770482">
      <w:pPr>
        <w:pStyle w:val="Heading8"/>
        <w:jc w:val="left"/>
      </w:pPr>
      <w:r>
        <w:t>Zakonske i druge pravne osnove</w:t>
      </w:r>
    </w:p>
    <w:p w:rsidR="009520A9" w:rsidRDefault="00770482">
      <w:r>
        <w:t>Zakon o knjižnicama i knjižničnoj djelatnosti, Uredba o nazivima radnih mjesta i koeficijentima složenosti poslova u javnim službama, Temeljni kolektivni u</w:t>
      </w:r>
      <w:r>
        <w:t>govor za službenike i namještenike u javnim službama, Kolektivni ugovor za znanost i visoko obrazovanje</w:t>
      </w:r>
    </w:p>
    <w:tbl>
      <w:tblPr>
        <w:tblStyle w:val="StilTablice"/>
        <w:tblW w:w="10206" w:type="dxa"/>
        <w:jc w:val="center"/>
        <w:tblLook w:val="04A0" w:firstRow="1" w:lastRow="0" w:firstColumn="1" w:lastColumn="0" w:noHBand="0" w:noVBand="1"/>
      </w:tblPr>
      <w:tblGrid>
        <w:gridCol w:w="1456"/>
        <w:gridCol w:w="1548"/>
        <w:gridCol w:w="1558"/>
        <w:gridCol w:w="1558"/>
        <w:gridCol w:w="1558"/>
        <w:gridCol w:w="1558"/>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A622017</w:t>
            </w:r>
          </w:p>
        </w:tc>
        <w:tc>
          <w:tcPr>
            <w:tcW w:w="1632" w:type="dxa"/>
            <w:vAlign w:val="top"/>
          </w:tcPr>
          <w:p w:rsidR="009520A9" w:rsidRDefault="00770482">
            <w:pPr>
              <w:jc w:val="right"/>
            </w:pPr>
            <w:r>
              <w:t>8.870.391</w:t>
            </w:r>
          </w:p>
        </w:tc>
        <w:tc>
          <w:tcPr>
            <w:tcW w:w="1632" w:type="dxa"/>
            <w:vAlign w:val="top"/>
          </w:tcPr>
          <w:p w:rsidR="009520A9" w:rsidRDefault="00770482">
            <w:pPr>
              <w:jc w:val="right"/>
            </w:pPr>
            <w:r>
              <w:t>10.749.551</w:t>
            </w:r>
          </w:p>
        </w:tc>
        <w:tc>
          <w:tcPr>
            <w:tcW w:w="1632" w:type="dxa"/>
            <w:vAlign w:val="top"/>
          </w:tcPr>
          <w:p w:rsidR="009520A9" w:rsidRDefault="00770482">
            <w:pPr>
              <w:jc w:val="right"/>
            </w:pPr>
            <w:r>
              <w:t>12.013.815</w:t>
            </w:r>
          </w:p>
        </w:tc>
        <w:tc>
          <w:tcPr>
            <w:tcW w:w="1632" w:type="dxa"/>
            <w:vAlign w:val="top"/>
          </w:tcPr>
          <w:p w:rsidR="009520A9" w:rsidRDefault="00770482">
            <w:pPr>
              <w:jc w:val="right"/>
            </w:pPr>
            <w:r>
              <w:t>12.525.400</w:t>
            </w:r>
          </w:p>
        </w:tc>
        <w:tc>
          <w:tcPr>
            <w:tcW w:w="1632" w:type="dxa"/>
            <w:vAlign w:val="top"/>
          </w:tcPr>
          <w:p w:rsidR="009520A9" w:rsidRDefault="00770482">
            <w:pPr>
              <w:jc w:val="right"/>
            </w:pPr>
            <w:r>
              <w:t>13.017.104</w:t>
            </w:r>
          </w:p>
        </w:tc>
        <w:tc>
          <w:tcPr>
            <w:tcW w:w="510" w:type="dxa"/>
            <w:vAlign w:val="top"/>
          </w:tcPr>
          <w:p w:rsidR="009520A9" w:rsidRDefault="00770482">
            <w:pPr>
              <w:jc w:val="right"/>
            </w:pPr>
            <w:r>
              <w:t>111,8</w:t>
            </w:r>
          </w:p>
        </w:tc>
      </w:tr>
    </w:tbl>
    <w:p w:rsidR="009520A9" w:rsidRDefault="009520A9">
      <w:pPr>
        <w:jc w:val="left"/>
      </w:pPr>
    </w:p>
    <w:p w:rsidR="009520A9" w:rsidRDefault="00770482">
      <w:r>
        <w:t>Sredstvima s ove aktivnosti financiraju se osnovni materijalni troškovi ("hladni pogon") redovitog poslovanja Nacionalne i sveučilišne knjižnice u Zagrebu, kao i plaće i ostali rashodi (materijalna prava te prijevoz na posao i s posla) z</w:t>
      </w:r>
      <w:r>
        <w:t xml:space="preserve">a 300 zaposlenika čime se Knjižnici omogućuje obavljanje njezine osnovne knjižnične i informacijske djelatnosti nacionalne knjižnice Republike Hrvatske i središnje knjižnice Sveučilišta u Zagrebu.    </w:t>
      </w:r>
    </w:p>
    <w:p w:rsidR="009520A9" w:rsidRDefault="00770482">
      <w:r>
        <w:t>Izračun za materijalne troškove poslovanja je napravlje</w:t>
      </w:r>
      <w:r>
        <w:t>n temeljem prosječne potrošnje u proteklom razdoblju, uz planirano povećanje pojedinih stavki uslijed uvođenja novih digitalnih tehnologija u poslovanje.</w:t>
      </w:r>
    </w:p>
    <w:p w:rsidR="009520A9" w:rsidRDefault="00770482">
      <w:pPr>
        <w:pStyle w:val="Heading4"/>
      </w:pPr>
      <w:r>
        <w:t>A622131 NABAVA INOZEMNIH ZNANSTVENIH ČASOPISA</w:t>
      </w:r>
    </w:p>
    <w:p w:rsidR="009520A9" w:rsidRDefault="00770482">
      <w:pPr>
        <w:pStyle w:val="Heading8"/>
        <w:jc w:val="left"/>
      </w:pPr>
      <w:r>
        <w:t>Zakonske i druge pravne osnove</w:t>
      </w:r>
    </w:p>
    <w:p w:rsidR="009520A9" w:rsidRDefault="00770482">
      <w:r>
        <w:t>Zakon o knjižnicama i knj</w:t>
      </w:r>
      <w:r>
        <w:t>ižničnoj djelatnosti, Operativni program Učinkoviti ljudski potencijali 2014.-2020, Strategija obrazovanja, znanosti i tehnologije, Sporazum o suradnji između Ministarstva i Knjižnice od 23. travnja 2015. godine.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A622131</w:t>
            </w:r>
          </w:p>
        </w:tc>
        <w:tc>
          <w:tcPr>
            <w:tcW w:w="1632" w:type="dxa"/>
            <w:vAlign w:val="top"/>
          </w:tcPr>
          <w:p w:rsidR="009520A9" w:rsidRDefault="00770482">
            <w:pPr>
              <w:jc w:val="right"/>
            </w:pPr>
            <w:r>
              <w:t>2.418.661</w:t>
            </w:r>
          </w:p>
        </w:tc>
        <w:tc>
          <w:tcPr>
            <w:tcW w:w="1632" w:type="dxa"/>
            <w:vAlign w:val="top"/>
          </w:tcPr>
          <w:p w:rsidR="009520A9" w:rsidRDefault="00770482">
            <w:pPr>
              <w:jc w:val="right"/>
            </w:pPr>
            <w:r>
              <w:t>3.450.792</w:t>
            </w:r>
          </w:p>
        </w:tc>
        <w:tc>
          <w:tcPr>
            <w:tcW w:w="1632" w:type="dxa"/>
            <w:vAlign w:val="top"/>
          </w:tcPr>
          <w:p w:rsidR="009520A9" w:rsidRDefault="00770482">
            <w:pPr>
              <w:jc w:val="right"/>
            </w:pPr>
            <w:r>
              <w:t>4.451.699</w:t>
            </w:r>
          </w:p>
        </w:tc>
        <w:tc>
          <w:tcPr>
            <w:tcW w:w="1632" w:type="dxa"/>
            <w:vAlign w:val="top"/>
          </w:tcPr>
          <w:p w:rsidR="009520A9" w:rsidRDefault="00770482">
            <w:pPr>
              <w:jc w:val="right"/>
            </w:pPr>
            <w:r>
              <w:t>5.029.694</w:t>
            </w:r>
          </w:p>
        </w:tc>
        <w:tc>
          <w:tcPr>
            <w:tcW w:w="1632" w:type="dxa"/>
            <w:vAlign w:val="top"/>
          </w:tcPr>
          <w:p w:rsidR="009520A9" w:rsidRDefault="00770482">
            <w:pPr>
              <w:jc w:val="right"/>
            </w:pPr>
            <w:r>
              <w:t>5.529.754</w:t>
            </w:r>
          </w:p>
        </w:tc>
        <w:tc>
          <w:tcPr>
            <w:tcW w:w="510" w:type="dxa"/>
            <w:vAlign w:val="top"/>
          </w:tcPr>
          <w:p w:rsidR="009520A9" w:rsidRDefault="00770482">
            <w:pPr>
              <w:jc w:val="right"/>
            </w:pPr>
            <w:r>
              <w:t>129,0</w:t>
            </w:r>
          </w:p>
        </w:tc>
      </w:tr>
    </w:tbl>
    <w:p w:rsidR="009520A9" w:rsidRDefault="009520A9">
      <w:pPr>
        <w:jc w:val="left"/>
      </w:pPr>
    </w:p>
    <w:p w:rsidR="009520A9" w:rsidRDefault="00770482">
      <w:r>
        <w:t>Kroz ovu aktivnost osigurava se pristup ključnim inozemnim znanstvenim bazama podataka i časopisima u elektroničkom obliku za sveučilišne knjižnice i knjižnice znanstvenih i visokoškolskih ustanova u RH, s ciljem osiguranja znanstvenoj i akademskoj zajedni</w:t>
      </w:r>
      <w:r>
        <w:t xml:space="preserve">ci neometanog i kvalitetnog pristupa bazama i časopisima u svrhu povećanja međunarodne vidljivosti znanstvenika i njihovih znanstvenih rezultata.     </w:t>
      </w:r>
    </w:p>
    <w:p w:rsidR="009520A9" w:rsidRDefault="00770482">
      <w:r>
        <w:t>Izračun se temelji na procjeni troškova službenih putovanja zaposlenika NSK koji rade na projektu na sast</w:t>
      </w:r>
      <w:r>
        <w:t>anke s kolegama iz europskih knjižnica i na sastanke s kolegama knjižničarima na znanstvenim ustanovama u RH, na edukacije izvan Zagreba, te domaće i međunarodne stručne skupove te na procjeni troška kotizacije za sudjelovanje na domaćim i međunarodnim str</w:t>
      </w:r>
      <w:r>
        <w:t>učnim skupovima. Također, izračun se temelji na procjeni putnog troška za članove Savjetodavnog povjerenstva na sastanke unutar RH, odnosno troškove prijevoza, dnevnica i smještaja za tri člana izvan Zagreba i to za predviđena 3 sastanka te na procjeni tro</w:t>
      </w:r>
      <w:r>
        <w:t xml:space="preserve">ška opreme i materijala te troškova organizacije radionica za korisnike s ciljem promocije projekta.   </w:t>
      </w:r>
    </w:p>
    <w:p w:rsidR="009520A9" w:rsidRDefault="00770482">
      <w:r>
        <w:t>Ključan trošak obuhvaća trošak nabave pretplate na inozemne znanstvene baze podataka i znanstvene časopise u elektroničkom obliku, LIBER, Discovery Serv</w:t>
      </w:r>
      <w:r>
        <w:t>is kao i troškove objava u EOJN, a procjena troškova temelji se na ugovorima 2023. godinu uvećano za uobičajen porast cijene pretplate od 5% do 10% te uvećanje za ugovaranje „transformativnih ugovora“ (procjena 10% veća vrijednost ugovora) i za dvije zbirk</w:t>
      </w:r>
      <w:r>
        <w:t>e elektroničkih časopisa.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sklopljenih ugovora o pretplati na e-izvore znanstvenih i stručnih informacija</w:t>
            </w:r>
          </w:p>
        </w:tc>
        <w:tc>
          <w:tcPr>
            <w:tcW w:w="2245" w:type="dxa"/>
            <w:vAlign w:val="top"/>
          </w:tcPr>
          <w:p w:rsidR="009520A9" w:rsidRDefault="00770482">
            <w:pPr>
              <w:pStyle w:val="CellColumn"/>
              <w:jc w:val="left"/>
            </w:pPr>
            <w:r>
              <w:rPr>
                <w:rFonts w:cs="Times New Roman"/>
              </w:rPr>
              <w:t>Sklopljeni ugovori o pretplati na e-izvore znanstvenih i stručnih informacija</w:t>
            </w:r>
          </w:p>
        </w:tc>
        <w:tc>
          <w:tcPr>
            <w:tcW w:w="918" w:type="dxa"/>
          </w:tcPr>
          <w:p w:rsidR="009520A9" w:rsidRDefault="00770482">
            <w:pPr>
              <w:jc w:val="center"/>
            </w:pPr>
            <w:r>
              <w:t>Broj</w:t>
            </w:r>
          </w:p>
        </w:tc>
        <w:tc>
          <w:tcPr>
            <w:tcW w:w="918" w:type="dxa"/>
          </w:tcPr>
          <w:p w:rsidR="009520A9" w:rsidRDefault="00770482">
            <w:pPr>
              <w:jc w:val="center"/>
            </w:pPr>
            <w:r>
              <w:t>14</w:t>
            </w:r>
          </w:p>
        </w:tc>
        <w:tc>
          <w:tcPr>
            <w:tcW w:w="918" w:type="dxa"/>
          </w:tcPr>
          <w:p w:rsidR="009520A9" w:rsidRDefault="00770482">
            <w:pPr>
              <w:pStyle w:val="CellColumn"/>
              <w:jc w:val="center"/>
            </w:pPr>
            <w:r>
              <w:rPr>
                <w:rFonts w:cs="Times New Roman"/>
              </w:rPr>
              <w:t>NSK</w:t>
            </w:r>
          </w:p>
        </w:tc>
        <w:tc>
          <w:tcPr>
            <w:tcW w:w="918" w:type="dxa"/>
          </w:tcPr>
          <w:p w:rsidR="009520A9" w:rsidRDefault="00770482">
            <w:pPr>
              <w:jc w:val="center"/>
            </w:pPr>
            <w:r>
              <w:t>15</w:t>
            </w:r>
          </w:p>
        </w:tc>
        <w:tc>
          <w:tcPr>
            <w:tcW w:w="918" w:type="dxa"/>
          </w:tcPr>
          <w:p w:rsidR="009520A9" w:rsidRDefault="00770482">
            <w:pPr>
              <w:jc w:val="center"/>
            </w:pPr>
            <w:r>
              <w:t>16</w:t>
            </w:r>
          </w:p>
        </w:tc>
        <w:tc>
          <w:tcPr>
            <w:tcW w:w="918" w:type="dxa"/>
          </w:tcPr>
          <w:p w:rsidR="009520A9" w:rsidRDefault="00770482">
            <w:pPr>
              <w:jc w:val="center"/>
            </w:pPr>
            <w:r>
              <w:t>17</w:t>
            </w:r>
          </w:p>
        </w:tc>
      </w:tr>
    </w:tbl>
    <w:p w:rsidR="009520A9" w:rsidRDefault="009520A9">
      <w:pPr>
        <w:jc w:val="left"/>
      </w:pPr>
    </w:p>
    <w:p w:rsidR="009520A9" w:rsidRDefault="00770482">
      <w:pPr>
        <w:pStyle w:val="Heading4"/>
      </w:pPr>
      <w:r>
        <w:t>A622134 ADMINISTRACIJA I UPRAVLJANJE NACIONALNE SVEUČILIŠNE KNJIŽNICE (</w:t>
      </w:r>
      <w:r>
        <w:t>IZ EVIDENCIJSKIH PRIHODA)</w:t>
      </w:r>
    </w:p>
    <w:p w:rsidR="009520A9" w:rsidRDefault="00770482">
      <w:pPr>
        <w:pStyle w:val="Heading8"/>
        <w:jc w:val="left"/>
      </w:pPr>
      <w:r>
        <w:t>Zakonske i druge pravne osnove</w:t>
      </w:r>
    </w:p>
    <w:p w:rsidR="009520A9" w:rsidRDefault="00770482">
      <w:r>
        <w:t>Zakon o proračunu; Zakon o izvršavanju Državnog proračuna Republike Hrvatske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A622134</w:t>
            </w:r>
          </w:p>
        </w:tc>
        <w:tc>
          <w:tcPr>
            <w:tcW w:w="1632" w:type="dxa"/>
            <w:vAlign w:val="top"/>
          </w:tcPr>
          <w:p w:rsidR="009520A9" w:rsidRDefault="00770482">
            <w:pPr>
              <w:jc w:val="right"/>
            </w:pPr>
            <w:r>
              <w:t>598.459</w:t>
            </w:r>
          </w:p>
        </w:tc>
        <w:tc>
          <w:tcPr>
            <w:tcW w:w="1632" w:type="dxa"/>
            <w:vAlign w:val="top"/>
          </w:tcPr>
          <w:p w:rsidR="009520A9" w:rsidRDefault="00770482">
            <w:pPr>
              <w:jc w:val="right"/>
            </w:pPr>
            <w:r>
              <w:t>755.355</w:t>
            </w:r>
          </w:p>
        </w:tc>
        <w:tc>
          <w:tcPr>
            <w:tcW w:w="1632" w:type="dxa"/>
            <w:vAlign w:val="top"/>
          </w:tcPr>
          <w:p w:rsidR="009520A9" w:rsidRDefault="00770482">
            <w:pPr>
              <w:jc w:val="right"/>
            </w:pPr>
            <w:r>
              <w:t>656.483</w:t>
            </w:r>
          </w:p>
        </w:tc>
        <w:tc>
          <w:tcPr>
            <w:tcW w:w="1632" w:type="dxa"/>
            <w:vAlign w:val="top"/>
          </w:tcPr>
          <w:p w:rsidR="009520A9" w:rsidRDefault="00770482">
            <w:pPr>
              <w:jc w:val="right"/>
            </w:pPr>
            <w:r>
              <w:t>670.330</w:t>
            </w:r>
          </w:p>
        </w:tc>
        <w:tc>
          <w:tcPr>
            <w:tcW w:w="1632" w:type="dxa"/>
            <w:vAlign w:val="top"/>
          </w:tcPr>
          <w:p w:rsidR="009520A9" w:rsidRDefault="00770482">
            <w:pPr>
              <w:jc w:val="right"/>
            </w:pPr>
            <w:r>
              <w:t>634.790</w:t>
            </w:r>
          </w:p>
        </w:tc>
        <w:tc>
          <w:tcPr>
            <w:tcW w:w="510" w:type="dxa"/>
            <w:vAlign w:val="top"/>
          </w:tcPr>
          <w:p w:rsidR="009520A9" w:rsidRDefault="00770482">
            <w:pPr>
              <w:jc w:val="right"/>
            </w:pPr>
            <w:r>
              <w:t>86,9</w:t>
            </w:r>
          </w:p>
        </w:tc>
      </w:tr>
    </w:tbl>
    <w:p w:rsidR="009520A9" w:rsidRDefault="009520A9">
      <w:pPr>
        <w:jc w:val="left"/>
      </w:pPr>
    </w:p>
    <w:p w:rsidR="009520A9" w:rsidRDefault="00770482">
      <w:r>
        <w:t>U okviru aktivnosti su planirani rashodi Nacionalne i sveučilišne knjižnice koji se financiraju iz vlastitih i namjenskih prihoda koji su izuzeti od uplate u proračun. Ostvarenje i trošenje vlastitih i namjenskih prihoda iskazuje se mjesečno u sustavu drža</w:t>
      </w:r>
      <w:r>
        <w:t xml:space="preserve">vne riznice temeljem dostavljenih podataka. Struktura rashoda po navedenim vrstama iskazana je kako slijedi: </w:t>
      </w:r>
    </w:p>
    <w:p w:rsidR="009520A9" w:rsidRDefault="00770482">
      <w:r>
        <w:t>Za financiranje redovne djelatnosti NSK iz vlastitih i namjenskih izvora financiranja u 2024. planirana su sredstva u iznosu od 58,000 EUR za plać</w:t>
      </w:r>
      <w:r>
        <w:t xml:space="preserve">e zaposlenika, 525,983 EUR za materijalne rashode, 67.500 EUR za rashode za nabavu nefinancijske imovine te za ostale rashode i izdatke 5,000 EUR. </w:t>
      </w:r>
    </w:p>
    <w:p w:rsidR="009520A9" w:rsidRDefault="00770482">
      <w:r>
        <w:t xml:space="preserve"> </w:t>
      </w:r>
    </w:p>
    <w:p w:rsidR="009520A9" w:rsidRDefault="00770482">
      <w:r>
        <w:t>Za financiranje redovne djelatnosti NSK iz vlastitih i namjenskih izvora financiranja u 2025. planirana su</w:t>
      </w:r>
      <w:r>
        <w:t xml:space="preserve"> sredstva u iznosu od 59,800 EUR za plaće zaposlenika, 551,530 EUR za materijalne rashode, 54.000 EUR za rashode za nabavu nefinancijske imovine te za ostale rashode i izdatke  5,000 EUR. </w:t>
      </w:r>
    </w:p>
    <w:p w:rsidR="009520A9" w:rsidRDefault="00770482">
      <w:r>
        <w:t xml:space="preserve"> </w:t>
      </w:r>
    </w:p>
    <w:p w:rsidR="009520A9" w:rsidRDefault="00770482">
      <w:r>
        <w:t>Za financiranje redovne djelatnosti NSK iz vlastitih i namjenskih</w:t>
      </w:r>
      <w:r>
        <w:t xml:space="preserve"> izvora financiranja u 2026. planirana su sredstva u iznosu od 61,650 EUR za plaće zaposlenika, 540,140 EUR za materijalne rashode, 28.000 EUR za rashode za nabavu nefinancijske imovine  te za ostale rashode i izdatke 5,000 EUR.</w:t>
      </w:r>
    </w:p>
    <w:p w:rsidR="009520A9" w:rsidRDefault="00770482">
      <w:pPr>
        <w:pStyle w:val="Heading4"/>
      </w:pPr>
      <w:r>
        <w:t>A622145 PRAVOMOĆNE SUDSKE P</w:t>
      </w:r>
      <w:r>
        <w:t>RESUDE</w:t>
      </w:r>
    </w:p>
    <w:p w:rsidR="009520A9" w:rsidRDefault="00770482">
      <w:pPr>
        <w:pStyle w:val="Heading8"/>
        <w:jc w:val="left"/>
      </w:pPr>
      <w:r>
        <w:t>Zakonske i druge pravne osnove</w:t>
      </w:r>
    </w:p>
    <w:p w:rsidR="009520A9" w:rsidRDefault="00770482">
      <w:r>
        <w:t>Zakon o visokom obrazovanju i znanstvenoj djelatnosti, Uredba o nazivima radnih mjesta i koeficijentima složenosti poslova u javnim službama, Temeljni kolektivni ugovor za službenike i namještenike u javnim službama, K</w:t>
      </w:r>
      <w:r>
        <w:t>olektivni ugovor za znanost i visoko obrazovanje</w:t>
      </w:r>
    </w:p>
    <w:tbl>
      <w:tblPr>
        <w:tblStyle w:val="StilTablice"/>
        <w:tblW w:w="10206" w:type="dxa"/>
        <w:jc w:val="center"/>
        <w:tblLook w:val="04A0" w:firstRow="1" w:lastRow="0" w:firstColumn="1" w:lastColumn="0" w:noHBand="0" w:noVBand="1"/>
      </w:tblPr>
      <w:tblGrid>
        <w:gridCol w:w="1476"/>
        <w:gridCol w:w="1563"/>
        <w:gridCol w:w="1556"/>
        <w:gridCol w:w="1547"/>
        <w:gridCol w:w="1547"/>
        <w:gridCol w:w="1547"/>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A622145</w:t>
            </w:r>
          </w:p>
        </w:tc>
        <w:tc>
          <w:tcPr>
            <w:tcW w:w="1632" w:type="dxa"/>
            <w:vAlign w:val="top"/>
          </w:tcPr>
          <w:p w:rsidR="009520A9" w:rsidRDefault="00770482">
            <w:pPr>
              <w:jc w:val="right"/>
            </w:pPr>
            <w:r>
              <w:t>00</w:t>
            </w:r>
          </w:p>
        </w:tc>
        <w:tc>
          <w:tcPr>
            <w:tcW w:w="1632" w:type="dxa"/>
            <w:vAlign w:val="top"/>
          </w:tcPr>
          <w:p w:rsidR="009520A9" w:rsidRDefault="00770482">
            <w:pPr>
              <w:jc w:val="right"/>
            </w:pPr>
            <w:r>
              <w:t>174.906</w:t>
            </w:r>
          </w:p>
        </w:tc>
        <w:tc>
          <w:tcPr>
            <w:tcW w:w="1632" w:type="dxa"/>
            <w:vAlign w:val="top"/>
          </w:tcPr>
          <w:p w:rsidR="009520A9" w:rsidRDefault="00770482">
            <w:pPr>
              <w:jc w:val="right"/>
            </w:pPr>
            <w:r>
              <w:t>55.000</w:t>
            </w:r>
          </w:p>
        </w:tc>
        <w:tc>
          <w:tcPr>
            <w:tcW w:w="1632" w:type="dxa"/>
            <w:vAlign w:val="top"/>
          </w:tcPr>
          <w:p w:rsidR="009520A9" w:rsidRDefault="00770482">
            <w:pPr>
              <w:jc w:val="right"/>
            </w:pPr>
            <w:r>
              <w:t>55.000</w:t>
            </w:r>
          </w:p>
        </w:tc>
        <w:tc>
          <w:tcPr>
            <w:tcW w:w="1632" w:type="dxa"/>
            <w:vAlign w:val="top"/>
          </w:tcPr>
          <w:p w:rsidR="009520A9" w:rsidRDefault="00770482">
            <w:pPr>
              <w:jc w:val="right"/>
            </w:pPr>
            <w:r>
              <w:t>55.000</w:t>
            </w:r>
          </w:p>
        </w:tc>
        <w:tc>
          <w:tcPr>
            <w:tcW w:w="510" w:type="dxa"/>
            <w:vAlign w:val="top"/>
          </w:tcPr>
          <w:p w:rsidR="009520A9" w:rsidRDefault="00770482">
            <w:pPr>
              <w:jc w:val="right"/>
            </w:pPr>
            <w:r>
              <w:t>31,4</w:t>
            </w:r>
          </w:p>
        </w:tc>
      </w:tr>
    </w:tbl>
    <w:p w:rsidR="009520A9" w:rsidRDefault="009520A9">
      <w:pPr>
        <w:jc w:val="left"/>
      </w:pPr>
    </w:p>
    <w:p w:rsidR="009520A9" w:rsidRDefault="00770482">
      <w:r>
        <w:t>Stavka na kojoj se osiguravaju sredstva za podmirenjem iznosa iz pravomoćnih presuda donesenih po tužbama zaposlenika Nacionalne i sveučilišne knjižnice u Zagrebu, a radi isplate razlike plaće po povoljnijoj osnovici za razdoblje od prosinca 2015. do siječ</w:t>
      </w:r>
      <w:r>
        <w:t>nja 2017. godine.</w:t>
      </w:r>
    </w:p>
    <w:p w:rsidR="009520A9" w:rsidRDefault="00770482">
      <w:pPr>
        <w:pStyle w:val="Heading4"/>
      </w:pPr>
      <w:r>
        <w:t>K622116 KNJIGE, UMJETNIČKA DJELA I OSTALE IZLOŽBENE VRIJEDNOSTI</w:t>
      </w:r>
    </w:p>
    <w:p w:rsidR="009520A9" w:rsidRDefault="00770482">
      <w:pPr>
        <w:pStyle w:val="Heading8"/>
        <w:jc w:val="left"/>
      </w:pPr>
      <w:r>
        <w:t>Zakonske i druge pravne osnove</w:t>
      </w:r>
    </w:p>
    <w:p w:rsidR="009520A9" w:rsidRDefault="00770482">
      <w:r>
        <w:t>Zakon o knjižnicama i knjižničnoj djelatnosti</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K622116</w:t>
            </w:r>
          </w:p>
        </w:tc>
        <w:tc>
          <w:tcPr>
            <w:tcW w:w="1632" w:type="dxa"/>
            <w:vAlign w:val="top"/>
          </w:tcPr>
          <w:p w:rsidR="009520A9" w:rsidRDefault="00770482">
            <w:pPr>
              <w:jc w:val="right"/>
            </w:pPr>
            <w:r>
              <w:t>25.192</w:t>
            </w:r>
          </w:p>
        </w:tc>
        <w:tc>
          <w:tcPr>
            <w:tcW w:w="1632" w:type="dxa"/>
            <w:vAlign w:val="top"/>
          </w:tcPr>
          <w:p w:rsidR="009520A9" w:rsidRDefault="00770482">
            <w:pPr>
              <w:jc w:val="right"/>
            </w:pPr>
            <w:r>
              <w:t>54.820</w:t>
            </w:r>
          </w:p>
        </w:tc>
        <w:tc>
          <w:tcPr>
            <w:tcW w:w="1632" w:type="dxa"/>
            <w:vAlign w:val="top"/>
          </w:tcPr>
          <w:p w:rsidR="009520A9" w:rsidRDefault="00770482">
            <w:pPr>
              <w:jc w:val="right"/>
            </w:pPr>
            <w:r>
              <w:t>48.900</w:t>
            </w:r>
          </w:p>
        </w:tc>
        <w:tc>
          <w:tcPr>
            <w:tcW w:w="1632" w:type="dxa"/>
            <w:vAlign w:val="top"/>
          </w:tcPr>
          <w:p w:rsidR="009520A9" w:rsidRDefault="00770482">
            <w:pPr>
              <w:jc w:val="right"/>
            </w:pPr>
            <w:r>
              <w:t>49.200</w:t>
            </w:r>
          </w:p>
        </w:tc>
        <w:tc>
          <w:tcPr>
            <w:tcW w:w="1632" w:type="dxa"/>
            <w:vAlign w:val="top"/>
          </w:tcPr>
          <w:p w:rsidR="009520A9" w:rsidRDefault="00770482">
            <w:pPr>
              <w:jc w:val="right"/>
            </w:pPr>
            <w:r>
              <w:t>49.200</w:t>
            </w:r>
          </w:p>
        </w:tc>
        <w:tc>
          <w:tcPr>
            <w:tcW w:w="510" w:type="dxa"/>
            <w:vAlign w:val="top"/>
          </w:tcPr>
          <w:p w:rsidR="009520A9" w:rsidRDefault="00770482">
            <w:pPr>
              <w:jc w:val="right"/>
            </w:pPr>
            <w:r>
              <w:t>89,2</w:t>
            </w:r>
          </w:p>
        </w:tc>
      </w:tr>
    </w:tbl>
    <w:p w:rsidR="009520A9" w:rsidRDefault="009520A9">
      <w:pPr>
        <w:jc w:val="left"/>
      </w:pPr>
    </w:p>
    <w:p w:rsidR="009520A9" w:rsidRDefault="00770482">
      <w:r>
        <w:t>Financiranje osnovne zadaće Nacionalne i sveučilišne knjižnice u Zagrebu koja sistematski prikuplja, obrađuje, pohranjuje i zaštićuje knjižničnu građu te osiguranim financijskim sredstvima nabavlja građu i obnavlja knjižnični fond. Obnovom knjižne građe Kn</w:t>
      </w:r>
      <w:r>
        <w:t>jižnica ispunjava i svoju zadaću definiranu Zakonom o knjižnicama, a to je da predstavlja središnju nacionalnu knjižnicu i središnju knjižnicu Sveučilišta u Zagrebu.</w:t>
      </w:r>
    </w:p>
    <w:p w:rsidR="009520A9" w:rsidRDefault="00770482">
      <w:pPr>
        <w:pStyle w:val="Heading4"/>
      </w:pPr>
      <w:r>
        <w:t>K622147 PROJEKT E-SVEUČILIŠTA - NPOO (C.3.1. R2-I1)</w:t>
      </w:r>
    </w:p>
    <w:p w:rsidR="009520A9" w:rsidRDefault="00770482">
      <w:pPr>
        <w:pStyle w:val="Heading8"/>
        <w:jc w:val="left"/>
      </w:pPr>
      <w:r>
        <w:t>Zakonske i druge pravne osnove</w:t>
      </w:r>
    </w:p>
    <w:p w:rsidR="009520A9" w:rsidRDefault="00770482">
      <w:r>
        <w:t>Naciona</w:t>
      </w:r>
      <w:r>
        <w:t>lni plan oporavka i otpornosti 2021.-2026. (NPOO)</w:t>
      </w:r>
    </w:p>
    <w:tbl>
      <w:tblPr>
        <w:tblStyle w:val="StilTablice"/>
        <w:tblW w:w="10206" w:type="dxa"/>
        <w:jc w:val="center"/>
        <w:tblLook w:val="04A0" w:firstRow="1" w:lastRow="0" w:firstColumn="1" w:lastColumn="0" w:noHBand="0" w:noVBand="1"/>
      </w:tblPr>
      <w:tblGrid>
        <w:gridCol w:w="1475"/>
        <w:gridCol w:w="1562"/>
        <w:gridCol w:w="1554"/>
        <w:gridCol w:w="1554"/>
        <w:gridCol w:w="1554"/>
        <w:gridCol w:w="1537"/>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K622147</w:t>
            </w:r>
          </w:p>
        </w:tc>
        <w:tc>
          <w:tcPr>
            <w:tcW w:w="1632" w:type="dxa"/>
            <w:vAlign w:val="top"/>
          </w:tcPr>
          <w:p w:rsidR="009520A9" w:rsidRDefault="00770482">
            <w:pPr>
              <w:jc w:val="right"/>
            </w:pPr>
            <w:r>
              <w:t>00</w:t>
            </w:r>
          </w:p>
        </w:tc>
        <w:tc>
          <w:tcPr>
            <w:tcW w:w="1632" w:type="dxa"/>
            <w:vAlign w:val="top"/>
          </w:tcPr>
          <w:p w:rsidR="009520A9" w:rsidRDefault="00770482">
            <w:pPr>
              <w:jc w:val="right"/>
            </w:pPr>
            <w:r>
              <w:t>498.887</w:t>
            </w:r>
          </w:p>
        </w:tc>
        <w:tc>
          <w:tcPr>
            <w:tcW w:w="1632" w:type="dxa"/>
            <w:vAlign w:val="top"/>
          </w:tcPr>
          <w:p w:rsidR="009520A9" w:rsidRDefault="00770482">
            <w:pPr>
              <w:jc w:val="right"/>
            </w:pPr>
            <w:r>
              <w:t>970.997</w:t>
            </w:r>
          </w:p>
        </w:tc>
        <w:tc>
          <w:tcPr>
            <w:tcW w:w="1632" w:type="dxa"/>
            <w:vAlign w:val="top"/>
          </w:tcPr>
          <w:p w:rsidR="009520A9" w:rsidRDefault="00770482">
            <w:pPr>
              <w:jc w:val="right"/>
            </w:pPr>
            <w:r>
              <w:t>697.150</w:t>
            </w:r>
          </w:p>
        </w:tc>
        <w:tc>
          <w:tcPr>
            <w:tcW w:w="1632" w:type="dxa"/>
            <w:vAlign w:val="top"/>
          </w:tcPr>
          <w:p w:rsidR="009520A9" w:rsidRDefault="00770482">
            <w:pPr>
              <w:jc w:val="right"/>
            </w:pPr>
            <w:r>
              <w:t>00</w:t>
            </w:r>
          </w:p>
        </w:tc>
        <w:tc>
          <w:tcPr>
            <w:tcW w:w="510" w:type="dxa"/>
            <w:vAlign w:val="top"/>
          </w:tcPr>
          <w:p w:rsidR="009520A9" w:rsidRDefault="00770482">
            <w:pPr>
              <w:jc w:val="right"/>
            </w:pPr>
            <w:r>
              <w:t>194,6</w:t>
            </w:r>
          </w:p>
        </w:tc>
      </w:tr>
    </w:tbl>
    <w:p w:rsidR="009520A9" w:rsidRDefault="009520A9">
      <w:pPr>
        <w:jc w:val="left"/>
      </w:pPr>
    </w:p>
    <w:p w:rsidR="009520A9" w:rsidRDefault="00770482">
      <w:r>
        <w:t>U skladu s Partnerskim sporazumom o sudjelovanju na pripremi i provedbi projekta e-Sveučilišta u okviru NPOO 2021. - 2026.. Broj investicije C.3.1. R2-I1.NSK provodi aktivnosti od 2023. godine.  Projektne aktivnosti iskazane u planu za  2024. iskazane su u</w:t>
      </w:r>
      <w:r>
        <w:t xml:space="preserve"> skladu s trajanjem i potrebama za realizacijom Nabave, prilagodbe i implementacije platforme za knjižnične usluge u oblaku mrežnog okružja za knjižnice u sustavu znanosti i visokog obrazovanja uz osiguravanje pretplate za korištenje te uz primjenu središn</w:t>
      </w:r>
      <w:r>
        <w:t>jeg sustava za podršku rada umreženih knjižnica te uspostavu održivog modela financiranja pretplate; opremanjem prostora NSK suvremenom računalnom multimedijalnom  digitalnom opremom te pripadajućeg namještaja koji omogućuje nove inovativne oblike učenja i</w:t>
      </w:r>
      <w:r>
        <w:t xml:space="preserve"> usvajanja novih znanja temeljenih na suvremeno interpretiranoj znanstvenoj i/ili kulturnoj digitalnoj baštini; partnerska suradnja u razvoju programa tj. kurikuluma u području digitalnog obrazovanja te izrade digitalnih obrazovnih sadržaja.</w:t>
      </w:r>
    </w:p>
    <w:p w:rsidR="009520A9" w:rsidRDefault="00770482">
      <w:pPr>
        <w:pStyle w:val="Heading2"/>
      </w:pPr>
      <w:r>
        <w:t>21852 Hrvatska akademska i istraživačka mreža Carnet</w:t>
      </w:r>
    </w:p>
    <w:p w:rsidR="009520A9" w:rsidRDefault="00770482">
      <w:r>
        <w:t>Uredbom o Hrvatskoj akademskoj i istraživačkoj mreži CARNET (NN 23/15) definirane su osnovne djelatnosti CARNET-a: razvoj, izgradnja i održavanje računalno-komunikacijske infrastrukture koja će povezivat</w:t>
      </w:r>
      <w:r>
        <w:t xml:space="preserve">i obrazovne, znanstveno-istraživačke te ostale ustanove po odluci osnivača, međusobno u jedinstveni informacijski sustav, povezivanje CARNET mreže s međunarodnim mrežama, razvoj i izgradnja informacijskih čvorišta i mreža, provedba informatizacije sustava </w:t>
      </w:r>
      <w:r>
        <w:t xml:space="preserve">osnovnog i srednjeg obrazovanja, kroz planiranje, razvoj, organizaciju, provedbu i praćenje ključnih aspekata informatizacije, u suradnji s Ministarstvom nadležnim za obrazovanje i znanost, poslovi iz nadležnosti nacionalnog tijela za prevenciju i zaštitu </w:t>
      </w:r>
      <w:r>
        <w:t>od računalnih ugroza sigurnosti javnih informacijskih sustava u Republici Hrvatskoj, promocija informacijskih tehnologija, ostali poslovi iz područja informacijskih znanosti, izdavanje časopisa i periodičnih publikacija, ostala izdavačka djelatnost, pružan</w:t>
      </w:r>
      <w:r>
        <w:t>je savjeta o računalnoj opremi (hardware), ostale djelatnosti povezane s računalima, izrada i pribavljanje programske opreme (software), izrada i upravljanje bazama podataka, edukacija (obavljanje i organizacija edukativnih djelatnosti), projektiranje i iz</w:t>
      </w:r>
      <w:r>
        <w:t>gradnja u području informacijskih tehnologija, projektiranje telekomunikacijskih sustava. Osiguranje i razvoj napredne informacijsko-komunikacijske infrastrukture za akademsku, istraživačku i obrazovnu zajednicu, uključujući brzu i sigurnu mrežu, raznovrsn</w:t>
      </w:r>
      <w:r>
        <w:t>e sadržaje i usluge. Povezivanje svih hrvatskih akademskih i znanstvenih ustanova te svih osnovnih i srednjih škola u zajedničku komunikacijsku mrežu i na Internet. Izgradnja i održavanje većeg broja servisa koji koriste ovako uspostavljenu mrežnu povezano</w:t>
      </w:r>
      <w:r>
        <w:t xml:space="preserve">st.  </w:t>
      </w:r>
    </w:p>
    <w:p w:rsidR="009520A9" w:rsidRDefault="00770482">
      <w:r>
        <w:t>Pod razvojem informacijsko - komunikacijske infrastrukture podrazumijeva se razvoj sljedećih komponenti infrastrukture: nacionalna obrazovna i istraživačka računalno-komunikacijska mreža, povezivanje na internet, računalno-komunikacijski resursi, inf</w:t>
      </w:r>
      <w:r>
        <w:t xml:space="preserve">ormacijski sustavi u obrazovanju i znanosti, sigurno korištenje interneta.  </w:t>
      </w:r>
    </w:p>
    <w:p w:rsidR="009520A9" w:rsidRDefault="00770482">
      <w:r>
        <w:t>Potencijali informacijsko-komunikacijske tehnologije (IKT) koriste se za unapređenje poslovnih i nastavnih procesa u osnovnim i srednjim školama, s konačnim ciljem stvaranja digit</w:t>
      </w:r>
      <w:r>
        <w:t xml:space="preserve">alno zrelih škola, s unaprijeđenim poslovnim i nastavnim procesima, spremnih za bržu prilagodbu obrazovanja tržištu rada, kroz razvoj kompetentnih učenika spremnih za nastavak školovanja ili za kvalitetni ulazak na tržište rada. Razvoj e-škola potaknut će </w:t>
      </w:r>
      <w:r>
        <w:t>se spajanjem na ultra brzi širokopojasni internet, opremanjem informacijsko-komunikacijskim tehnologijama (IKT), informatizacijom procesa poslovanja, učenja i poučavanja te stručnim usavršavanjem i podrškom ravnateljima, nastavnicima i stručnom osoblju u p</w:t>
      </w:r>
      <w:r>
        <w:t xml:space="preserve">rimjeni IKT-a u nastavi i poslovanju škole. Digitalno kompetentni nastavnici i učenici će u svom svakodnevnom radu koristiti računalnu i mobilnu opremu te obrazovne aplikacije i digitalne nastavne materijale.  </w:t>
      </w:r>
    </w:p>
    <w:p w:rsidR="009520A9" w:rsidRDefault="00770482">
      <w:r>
        <w:t>S ciljem doprinosa razvoju digitalnog društva</w:t>
      </w:r>
      <w:r>
        <w:t xml:space="preserve"> i u skladu s ciljevima Strategije obrazovanja, znanosti i tehnologije, CARNET provodi i potiče aktivnosti pripreme nastavnika za korištenje IKT-a u odgojno-obrazovnom procesu te podizanja njihovih digitalnih kompetencija kroz razvoj i provođenje masovnih </w:t>
      </w:r>
      <w:r>
        <w:t>otvorenih online tečajeva i drugih vrsta online obrazovnih programa, kao i istraživačke intervencije koje za cilj imaju prikupljanje podataka o utjecaju IKT-a na odgojno-obrazovni proces u skladu s definiranim ciljevima i mjerama Strategije obrazovanja, zn</w:t>
      </w:r>
      <w:r>
        <w:t>anosti i tehnologije.</w:t>
      </w:r>
    </w:p>
    <w:tbl>
      <w:tblPr>
        <w:tblStyle w:val="StilTablice"/>
        <w:tblW w:w="10206" w:type="dxa"/>
        <w:jc w:val="center"/>
        <w:tblLook w:val="04A0" w:firstRow="1" w:lastRow="0" w:firstColumn="1" w:lastColumn="0" w:noHBand="0" w:noVBand="1"/>
      </w:tblPr>
      <w:tblGrid>
        <w:gridCol w:w="1426"/>
        <w:gridCol w:w="1562"/>
        <w:gridCol w:w="1562"/>
        <w:gridCol w:w="1562"/>
        <w:gridCol w:w="1562"/>
        <w:gridCol w:w="1562"/>
        <w:gridCol w:w="970"/>
      </w:tblGrid>
      <w:tr w:rsidR="009520A9">
        <w:trPr>
          <w:jc w:val="center"/>
        </w:trPr>
        <w:tc>
          <w:tcPr>
            <w:tcW w:w="1530" w:type="dxa"/>
            <w:shd w:val="clear" w:color="auto" w:fill="B5C0D8"/>
          </w:tcPr>
          <w:p w:rsidR="009520A9" w:rsidRDefault="009520A9">
            <w:pPr>
              <w:pStyle w:val="CellHeader"/>
              <w:jc w:val="center"/>
            </w:pP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tcPr>
          <w:p w:rsidR="009520A9" w:rsidRDefault="00770482">
            <w:pPr>
              <w:pStyle w:val="CellColumn"/>
              <w:jc w:val="left"/>
            </w:pPr>
            <w:r>
              <w:rPr>
                <w:rFonts w:cs="Times New Roman"/>
              </w:rPr>
              <w:t>21852</w:t>
            </w:r>
          </w:p>
        </w:tc>
        <w:tc>
          <w:tcPr>
            <w:tcW w:w="1632" w:type="dxa"/>
          </w:tcPr>
          <w:p w:rsidR="009520A9" w:rsidRDefault="00770482">
            <w:pPr>
              <w:jc w:val="right"/>
            </w:pPr>
            <w:r>
              <w:t>33.713.960</w:t>
            </w:r>
          </w:p>
        </w:tc>
        <w:tc>
          <w:tcPr>
            <w:tcW w:w="1632" w:type="dxa"/>
          </w:tcPr>
          <w:p w:rsidR="009520A9" w:rsidRDefault="00770482">
            <w:pPr>
              <w:jc w:val="right"/>
            </w:pPr>
            <w:r>
              <w:t>99.084.522</w:t>
            </w:r>
          </w:p>
        </w:tc>
        <w:tc>
          <w:tcPr>
            <w:tcW w:w="1632" w:type="dxa"/>
          </w:tcPr>
          <w:p w:rsidR="009520A9" w:rsidRDefault="00770482">
            <w:pPr>
              <w:jc w:val="right"/>
            </w:pPr>
            <w:r>
              <w:t>56.126.913</w:t>
            </w:r>
          </w:p>
        </w:tc>
        <w:tc>
          <w:tcPr>
            <w:tcW w:w="1632" w:type="dxa"/>
          </w:tcPr>
          <w:p w:rsidR="009520A9" w:rsidRDefault="00770482">
            <w:pPr>
              <w:jc w:val="right"/>
            </w:pPr>
            <w:r>
              <w:t>66.425.417</w:t>
            </w:r>
          </w:p>
        </w:tc>
        <w:tc>
          <w:tcPr>
            <w:tcW w:w="1632" w:type="dxa"/>
          </w:tcPr>
          <w:p w:rsidR="009520A9" w:rsidRDefault="00770482">
            <w:pPr>
              <w:jc w:val="right"/>
            </w:pPr>
            <w:r>
              <w:t>24.822.602</w:t>
            </w:r>
          </w:p>
        </w:tc>
        <w:tc>
          <w:tcPr>
            <w:tcW w:w="510" w:type="dxa"/>
          </w:tcPr>
          <w:p w:rsidR="009520A9" w:rsidRDefault="00770482">
            <w:pPr>
              <w:jc w:val="right"/>
            </w:pPr>
            <w:r>
              <w:t>56,6</w:t>
            </w:r>
          </w:p>
        </w:tc>
      </w:tr>
    </w:tbl>
    <w:p w:rsidR="009520A9" w:rsidRDefault="009520A9">
      <w:pPr>
        <w:jc w:val="left"/>
      </w:pPr>
    </w:p>
    <w:p w:rsidR="009520A9" w:rsidRDefault="00770482">
      <w:pPr>
        <w:pStyle w:val="Heading4"/>
      </w:pPr>
      <w:r>
        <w:t>A628009 ADMINISTRACIJA I UPRAVLJANJE HRVATSKE AKADEMSKE I ISTRAŽIVAČKE MREŽE CARNET</w:t>
      </w:r>
    </w:p>
    <w:p w:rsidR="009520A9" w:rsidRDefault="00770482">
      <w:pPr>
        <w:pStyle w:val="Heading8"/>
        <w:jc w:val="left"/>
      </w:pPr>
      <w:r>
        <w:t>Zakonske i druge pravne osnove</w:t>
      </w:r>
    </w:p>
    <w:p w:rsidR="009520A9" w:rsidRDefault="00770482">
      <w:r>
        <w:t>•</w:t>
      </w:r>
      <w:r>
        <w:tab/>
        <w:t xml:space="preserve">Uredba o Hrvatskoj akademskoj i istraživačkoj mreži CARNET,  </w:t>
      </w:r>
    </w:p>
    <w:p w:rsidR="009520A9" w:rsidRDefault="00770482">
      <w:r>
        <w:t>•</w:t>
      </w:r>
      <w:r>
        <w:tab/>
        <w:t xml:space="preserve">Zakon o informacijskoj sigurnosti,  </w:t>
      </w:r>
    </w:p>
    <w:p w:rsidR="009520A9" w:rsidRDefault="00770482">
      <w:r>
        <w:t>•</w:t>
      </w:r>
      <w:r>
        <w:tab/>
        <w:t xml:space="preserve">Zakon o elektroničkim komunikacijama, </w:t>
      </w:r>
    </w:p>
    <w:p w:rsidR="009520A9" w:rsidRDefault="00770482">
      <w:r>
        <w:t>•</w:t>
      </w:r>
      <w:r>
        <w:tab/>
        <w:t xml:space="preserve">Statut Hrvatske akademske i istraživačke mreže CARNET </w:t>
      </w:r>
    </w:p>
    <w:p w:rsidR="009520A9" w:rsidRDefault="00770482">
      <w:r>
        <w:t>•</w:t>
      </w:r>
      <w:r>
        <w:tab/>
        <w:t xml:space="preserve">Ugovor o bespovratnim </w:t>
      </w:r>
      <w:r>
        <w:t>sredstvima (Grant Agreement) broj 2018-2502/001-001 potpisan 23.11.2018. između Izvršne agencije za obrazovanje, audiovizualnu djelatnost i kulturu (EACEA) i Sveučilišta u Zagrebu, Fakultet organizacije i informatike, Varaždin koji kao 1 od priloga uključu</w:t>
      </w:r>
      <w:r>
        <w:t>je mandatno pismo Hrvatske akademske i istraživačke mreže - CARNET od 7. veljače 2018. kao partnera na projektu.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A628009</w:t>
            </w:r>
          </w:p>
        </w:tc>
        <w:tc>
          <w:tcPr>
            <w:tcW w:w="1632" w:type="dxa"/>
            <w:vAlign w:val="top"/>
          </w:tcPr>
          <w:p w:rsidR="009520A9" w:rsidRDefault="00770482">
            <w:pPr>
              <w:jc w:val="right"/>
            </w:pPr>
            <w:r>
              <w:t>6.336.499</w:t>
            </w:r>
          </w:p>
        </w:tc>
        <w:tc>
          <w:tcPr>
            <w:tcW w:w="1632" w:type="dxa"/>
            <w:vAlign w:val="top"/>
          </w:tcPr>
          <w:p w:rsidR="009520A9" w:rsidRDefault="00770482">
            <w:pPr>
              <w:jc w:val="right"/>
            </w:pPr>
            <w:r>
              <w:t>8.039.636</w:t>
            </w:r>
          </w:p>
        </w:tc>
        <w:tc>
          <w:tcPr>
            <w:tcW w:w="1632" w:type="dxa"/>
            <w:vAlign w:val="top"/>
          </w:tcPr>
          <w:p w:rsidR="009520A9" w:rsidRDefault="00770482">
            <w:pPr>
              <w:jc w:val="right"/>
            </w:pPr>
            <w:r>
              <w:t>9.950.463</w:t>
            </w:r>
          </w:p>
        </w:tc>
        <w:tc>
          <w:tcPr>
            <w:tcW w:w="1632" w:type="dxa"/>
            <w:vAlign w:val="top"/>
          </w:tcPr>
          <w:p w:rsidR="009520A9" w:rsidRDefault="00770482">
            <w:pPr>
              <w:jc w:val="right"/>
            </w:pPr>
            <w:r>
              <w:t>9.948.008</w:t>
            </w:r>
          </w:p>
        </w:tc>
        <w:tc>
          <w:tcPr>
            <w:tcW w:w="1632" w:type="dxa"/>
            <w:vAlign w:val="top"/>
          </w:tcPr>
          <w:p w:rsidR="009520A9" w:rsidRDefault="00770482">
            <w:pPr>
              <w:jc w:val="right"/>
            </w:pPr>
            <w:r>
              <w:t>9.944.494</w:t>
            </w:r>
          </w:p>
        </w:tc>
        <w:tc>
          <w:tcPr>
            <w:tcW w:w="510" w:type="dxa"/>
            <w:vAlign w:val="top"/>
          </w:tcPr>
          <w:p w:rsidR="009520A9" w:rsidRDefault="00770482">
            <w:pPr>
              <w:jc w:val="right"/>
            </w:pPr>
            <w:r>
              <w:t>123,8</w:t>
            </w:r>
          </w:p>
        </w:tc>
      </w:tr>
    </w:tbl>
    <w:p w:rsidR="009520A9" w:rsidRDefault="009520A9">
      <w:pPr>
        <w:jc w:val="left"/>
      </w:pPr>
    </w:p>
    <w:p w:rsidR="009520A9" w:rsidRDefault="00770482">
      <w:r>
        <w:t>Kroz aktivnost se financiraju plaće i ostali rashodi za zaposlenike CARNET-a, a sukladno važećoj sistematizaciji radnih mjesta u CARNET-u, te materijalni troškovi odvijanja redovitog poslovanja. Rashodi za zaposlene planirani su na razini rashoda tekuće go</w:t>
      </w:r>
      <w:r>
        <w:t xml:space="preserve">dine za postojeći broj zaposlenih, ne uvažavajući činjenicu stalnog rasta obima poslova koje CARNET obavlja te potrebe za povećanjem broja zaposlenih.  </w:t>
      </w:r>
    </w:p>
    <w:p w:rsidR="009520A9" w:rsidRDefault="00770482">
      <w:r>
        <w:t>U okviru aktivnosti planiraju se sredstva za tekuće održavanje i nadogradnje svih servisa CARNET-a kako</w:t>
      </w:r>
      <w:r>
        <w:t xml:space="preserve"> bi se osigurala ista razina i kvaliteta usluge koje CARNET danas pruža svojim korisnicima, te za tekuće održavanje CARNET mreže i mrežne opreme. U sklopu održavanja mreže potrebna su sredstva za službena putovanja zaposlenika, te kontinuirano školovanje z</w:t>
      </w:r>
      <w:r>
        <w:t xml:space="preserve">aposlenika na području mrežnih tehnologija. Financiraju se i članarine u međunarodnim organizacijama FIRST, TRUSTED INTRODUCER, RIPE. </w:t>
      </w:r>
    </w:p>
    <w:p w:rsidR="009520A9" w:rsidRDefault="00770482">
      <w:r>
        <w:t>Jedan od najvažnijih nacionalnih informacijskih servisa kojim CARNET upravlja od 1993. godine je registar vršne internets</w:t>
      </w:r>
      <w:r>
        <w:t>ke domene Republike Hrvatske (.hr). Tijekom 2024. planiraju se aktivnosti vezane za daljnje unapređenje sustava za registraciju .hr domena te njihovo usklađivanje s najboljim europskih praksama i pravnim aktima Europske unije, kao i osiguravanje dodatnih i</w:t>
      </w:r>
      <w:r>
        <w:t xml:space="preserve">nfrastrukturnih i sigurnosnih aspekata sustava u skladu sa zahtjevima iz Zakona o kibernetičkoj sigurnosti. Planira se povećanje ukupnog broja registriranih domena pod vršnom .hr domenom tijekom naredne tri godine. </w:t>
      </w:r>
    </w:p>
    <w:p w:rsidR="009520A9" w:rsidRDefault="00770482">
      <w:r>
        <w:t>Kako je sigurnost mrežne infrastrukture,</w:t>
      </w:r>
      <w:r>
        <w:t xml:space="preserve"> članica CARNET mreže, usluga koje CARNET nudi ali i sigurnost samih korisnika od posebne važnosti, provodi se periodička provjera ranjivosti svih članica, usluga CARNET-a, te sigurnosna provjera (penetracijska testiranja) aplikacija i certifikacija aplika</w:t>
      </w:r>
      <w:r>
        <w:t xml:space="preserve">cija koje pristupaju sustavu eMatica radi sigurnosti sustava eMatica. Također se kontinuirano radi na praćenju novih sigurnosnih prijetnji te se korisnici Interneta u RH upozoravaju objavom preporuka, upozorenja i novostima o istima te načinima zaštite od </w:t>
      </w:r>
      <w:r>
        <w:t>kibernetičkih prijetnji istih. Obrada incidenata i koordinacija incidenata na nacionalnoj i međunarodnoj razini je jedna od glavnih djelatnosti Nacionalnog CERT-a. Nacionalni CERT prema odluci Vlade sudjeluje u vježbama kibernetičke obrane u organizaciji s</w:t>
      </w:r>
      <w:r>
        <w:t>jeveroatlantskih integracija NATO (vježbe CMX, CyberCoalition), , nacionalnoj kibernetičkoj vježbi u organizaciji MORH-a i vježbama na EU razini u organizaciji ENISA-e Europske agencije za kibernetičku sigurnost (Cyber Europe, Cyber SOPEx). Kroz ovu aktivn</w:t>
      </w:r>
      <w:r>
        <w:t>ost planirana su i sredstva za provođenje akcijskog plana za provedbu Nacionalne strategije kibernetičke sigurnosti koja uključuje Nacionalni CERT u ulozi važnog čimbenika provedbe strategije.  Kroz implementaciju EU NIS direktive (2016/1148) u "Zakon o ki</w:t>
      </w:r>
      <w:r>
        <w:t>bernetičkoj sigurnosti operatora ključnih usluga i davatelja digitalnih usluga" Nacionalni CERT dobio je nove nadležnosti za koje je potrebno ustrojiti organizaciju posla i ljudi. Spomenuti zakon donesen je u srpnju 2018. godine, a njegova implementacija p</w:t>
      </w:r>
      <w:r>
        <w:t>rovodi  se kontinuirano prema zadanim ulogama i nadležnostima Nacionalnog CERT-a. Prema strateškom cilju G. Tehnička koordinacija u obradi računalno-sigurnosnih incidenata iz Akcijskog plana za provedbu Nacionalne strategije kibernetičke sigurnosti Naciona</w:t>
      </w:r>
      <w:r>
        <w:t>lni CERT je u suradnji s radnom skupinom, sastavljenom od predstavnika nositelja i su nositelja provedbe mjera, u 2021. godini pokrenuo uslugu PiXi – Nacionalnu platformu za prikupljanje, analizu i razmjenu podataka o računalno-sigurnosnim prijetnjama i in</w:t>
      </w:r>
      <w:r>
        <w:t>cidentima. Do 2023. godine   osposobljeno je više od 200 korisnika za rad na Platformi iz više od 100 različitih pravnih subjekata te je potrebno osigurati održivost usluge u upravljačkom, tehničkom i operativnom obliku. Usluga obuhvaća funkcionalnost prij</w:t>
      </w:r>
      <w:r>
        <w:t xml:space="preserve">ave značajnih incidenata i koristi se sustav za dostavu obavijesti o incidentima sa znatnim učinkom operatora ključnih usluga i davatelja digitalnih usluga. Nacionalni CERT sudjeluje u radu mreže europskih CERT-ova CSIRT Network. Donošenjem novog Zakona o </w:t>
      </w:r>
      <w:r>
        <w:t>kibernetičkoj sigurnosti kojim će se transponirati NIS2 Direktiva - Direktiva (EU) 2022/2555 Europskog parlamenta i Vijeća od 14. prosinca 2022. o mjerama za visoku zajedničku razinu kibersigurnosti širom Unije, izmjeni Uredbe (EU) br. 910/ 2014 i Direktiv</w:t>
      </w:r>
      <w:r>
        <w:t>e (EU) 2018/1972 i stavljanju izvan snage Direktive (EU) 2016/1148 (Direktiva NIS 2) koja stupa na snagu 16. siječnja 2023. godine. Rok za provedbu transpozicije je 21 mjesec odnosno države članice moraju do 17. listopada 2024. godine usvojiti i objaviti m</w:t>
      </w:r>
      <w:r>
        <w:t>jere za usklađivanje s NIS 2 Direktivom. Transpozicija podrazumijeva prijenos prava i obveza iz direktive u nacionalno zakonodavstvo što uključuje usvajanje obveznih odredaba nacionalnog prava ili ukidanje odnosno izmjenu i dopunu postojećih propisa. Trans</w:t>
      </w:r>
      <w:r>
        <w:t>pozicija NIS2 Direktive u hrvatsko zakonodavstvo i prijedlog Zakona predviđaju povećan opseg i zadatke Nacionalnog CERT-a.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130"/>
        <w:gridCol w:w="2124"/>
        <w:gridCol w:w="1148"/>
        <w:gridCol w:w="917"/>
        <w:gridCol w:w="1136"/>
        <w:gridCol w:w="917"/>
        <w:gridCol w:w="917"/>
        <w:gridCol w:w="91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w:t>
            </w:r>
            <w:r>
              <w:rPr>
                <w:rFonts w:cs="Times New Roman"/>
              </w:rPr>
              <w:t>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Korištenje Nacionalne platforme PiXi – platforma za razmjenu informacija o incidentima i prijetnjama na nacionalnoj razini</w:t>
            </w:r>
          </w:p>
        </w:tc>
        <w:tc>
          <w:tcPr>
            <w:tcW w:w="2245" w:type="dxa"/>
            <w:vAlign w:val="top"/>
          </w:tcPr>
          <w:p w:rsidR="009520A9" w:rsidRDefault="00770482">
            <w:pPr>
              <w:pStyle w:val="CellColumn"/>
              <w:jc w:val="left"/>
            </w:pPr>
            <w:r>
              <w:rPr>
                <w:rFonts w:cs="Times New Roman"/>
              </w:rPr>
              <w:t>Održavanje platforme i povećanje broja korisnika, korisničkih računa</w:t>
            </w:r>
          </w:p>
        </w:tc>
        <w:tc>
          <w:tcPr>
            <w:tcW w:w="918" w:type="dxa"/>
          </w:tcPr>
          <w:p w:rsidR="009520A9" w:rsidRDefault="00770482">
            <w:pPr>
              <w:jc w:val="center"/>
            </w:pPr>
            <w:r>
              <w:t>Broj korisničkih računa</w:t>
            </w:r>
          </w:p>
        </w:tc>
        <w:tc>
          <w:tcPr>
            <w:tcW w:w="918" w:type="dxa"/>
          </w:tcPr>
          <w:p w:rsidR="009520A9" w:rsidRDefault="00770482">
            <w:pPr>
              <w:jc w:val="center"/>
            </w:pPr>
            <w:r>
              <w:t>200</w:t>
            </w:r>
          </w:p>
        </w:tc>
        <w:tc>
          <w:tcPr>
            <w:tcW w:w="918" w:type="dxa"/>
          </w:tcPr>
          <w:p w:rsidR="009520A9" w:rsidRDefault="00770482">
            <w:pPr>
              <w:pStyle w:val="CellColumn"/>
              <w:jc w:val="center"/>
            </w:pPr>
            <w:r>
              <w:rPr>
                <w:rFonts w:cs="Times New Roman"/>
              </w:rPr>
              <w:t>CARNET /NCERT - Godišnji izvještaj o radu Nacionalnog CERT-a</w:t>
            </w:r>
          </w:p>
        </w:tc>
        <w:tc>
          <w:tcPr>
            <w:tcW w:w="918" w:type="dxa"/>
          </w:tcPr>
          <w:p w:rsidR="009520A9" w:rsidRDefault="00770482">
            <w:pPr>
              <w:jc w:val="center"/>
            </w:pPr>
            <w:r>
              <w:t>250</w:t>
            </w:r>
          </w:p>
        </w:tc>
        <w:tc>
          <w:tcPr>
            <w:tcW w:w="918" w:type="dxa"/>
          </w:tcPr>
          <w:p w:rsidR="009520A9" w:rsidRDefault="00770482">
            <w:pPr>
              <w:jc w:val="center"/>
            </w:pPr>
            <w:r>
              <w:t>250</w:t>
            </w:r>
          </w:p>
        </w:tc>
        <w:tc>
          <w:tcPr>
            <w:tcW w:w="918" w:type="dxa"/>
          </w:tcPr>
          <w:p w:rsidR="009520A9" w:rsidRDefault="00770482">
            <w:pPr>
              <w:jc w:val="center"/>
            </w:pPr>
            <w:r>
              <w:t>250</w:t>
            </w:r>
          </w:p>
        </w:tc>
      </w:tr>
      <w:tr w:rsidR="009520A9">
        <w:trPr>
          <w:jc w:val="center"/>
        </w:trPr>
        <w:tc>
          <w:tcPr>
            <w:tcW w:w="2245" w:type="dxa"/>
            <w:vAlign w:val="top"/>
          </w:tcPr>
          <w:p w:rsidR="009520A9" w:rsidRDefault="00770482">
            <w:pPr>
              <w:pStyle w:val="CellColumn"/>
              <w:jc w:val="left"/>
            </w:pPr>
            <w:r>
              <w:rPr>
                <w:rFonts w:cs="Times New Roman"/>
              </w:rPr>
              <w:t>Organiziranje aktivnosti u sklopu Europskog mjeseca kibernetičke sigurnosti</w:t>
            </w:r>
          </w:p>
        </w:tc>
        <w:tc>
          <w:tcPr>
            <w:tcW w:w="2245" w:type="dxa"/>
            <w:vAlign w:val="top"/>
          </w:tcPr>
          <w:p w:rsidR="009520A9" w:rsidRDefault="00770482">
            <w:pPr>
              <w:pStyle w:val="CellColumn"/>
              <w:jc w:val="left"/>
            </w:pPr>
            <w:r>
              <w:rPr>
                <w:rFonts w:cs="Times New Roman"/>
              </w:rPr>
              <w:t>Organiziranje raznih aktivnosti tijekom listopada koje se odnose na kibernetičku sigurnost i promoviraju inicijativu ECSM</w:t>
            </w:r>
          </w:p>
        </w:tc>
        <w:tc>
          <w:tcPr>
            <w:tcW w:w="918" w:type="dxa"/>
          </w:tcPr>
          <w:p w:rsidR="009520A9" w:rsidRDefault="00770482">
            <w:pPr>
              <w:jc w:val="center"/>
            </w:pPr>
            <w:r>
              <w:t>Izvještaj o provedenim aktivnostima</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CARNET /NCERT - Godišnji izvještaj o radu Nacionalnog CERT-a</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r w:rsidR="009520A9">
        <w:trPr>
          <w:jc w:val="center"/>
        </w:trPr>
        <w:tc>
          <w:tcPr>
            <w:tcW w:w="2245" w:type="dxa"/>
            <w:vAlign w:val="top"/>
          </w:tcPr>
          <w:p w:rsidR="009520A9" w:rsidRDefault="00770482">
            <w:pPr>
              <w:pStyle w:val="CellColumn"/>
              <w:jc w:val="left"/>
            </w:pPr>
            <w:r>
              <w:rPr>
                <w:rFonts w:cs="Times New Roman"/>
              </w:rPr>
              <w:t>Revizija upravljanja informa</w:t>
            </w:r>
            <w:r>
              <w:rPr>
                <w:rFonts w:cs="Times New Roman"/>
              </w:rPr>
              <w:t>cijskom sigurnosti</w:t>
            </w:r>
          </w:p>
        </w:tc>
        <w:tc>
          <w:tcPr>
            <w:tcW w:w="2245" w:type="dxa"/>
            <w:vAlign w:val="top"/>
          </w:tcPr>
          <w:p w:rsidR="009520A9" w:rsidRDefault="00770482">
            <w:pPr>
              <w:pStyle w:val="CellColumn"/>
              <w:jc w:val="left"/>
            </w:pPr>
            <w:r>
              <w:rPr>
                <w:rFonts w:cs="Times New Roman"/>
              </w:rPr>
              <w:t>Revizija organizacijskih dokumenata i pravilnika, definirana lista ekspretize potrebne za zaposlenike unutar CERT-ova, definirana komunikacija s javnosti</w:t>
            </w:r>
          </w:p>
        </w:tc>
        <w:tc>
          <w:tcPr>
            <w:tcW w:w="918" w:type="dxa"/>
          </w:tcPr>
          <w:p w:rsidR="009520A9" w:rsidRDefault="00770482">
            <w:pPr>
              <w:jc w:val="center"/>
            </w:pPr>
            <w:r>
              <w:t>Broj dokumenata</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CARNET /NCERT – interni dokumenti</w:t>
            </w:r>
          </w:p>
        </w:tc>
        <w:tc>
          <w:tcPr>
            <w:tcW w:w="918" w:type="dxa"/>
          </w:tcPr>
          <w:p w:rsidR="009520A9" w:rsidRDefault="00770482">
            <w:pPr>
              <w:jc w:val="center"/>
            </w:pPr>
            <w:r>
              <w:t>3</w:t>
            </w:r>
          </w:p>
        </w:tc>
        <w:tc>
          <w:tcPr>
            <w:tcW w:w="918" w:type="dxa"/>
          </w:tcPr>
          <w:p w:rsidR="009520A9" w:rsidRDefault="00770482">
            <w:pPr>
              <w:jc w:val="center"/>
            </w:pPr>
            <w:r>
              <w:t>3</w:t>
            </w:r>
          </w:p>
        </w:tc>
        <w:tc>
          <w:tcPr>
            <w:tcW w:w="918" w:type="dxa"/>
          </w:tcPr>
          <w:p w:rsidR="009520A9" w:rsidRDefault="00770482">
            <w:pPr>
              <w:jc w:val="center"/>
            </w:pPr>
            <w:r>
              <w:t>3</w:t>
            </w:r>
          </w:p>
        </w:tc>
      </w:tr>
      <w:tr w:rsidR="009520A9">
        <w:trPr>
          <w:jc w:val="center"/>
        </w:trPr>
        <w:tc>
          <w:tcPr>
            <w:tcW w:w="2245" w:type="dxa"/>
            <w:vAlign w:val="top"/>
          </w:tcPr>
          <w:p w:rsidR="009520A9" w:rsidRDefault="00770482">
            <w:pPr>
              <w:pStyle w:val="CellColumn"/>
              <w:jc w:val="left"/>
            </w:pPr>
            <w:r>
              <w:rPr>
                <w:rFonts w:cs="Times New Roman"/>
              </w:rPr>
              <w:t>Provjere ranjivosti i si</w:t>
            </w:r>
            <w:r>
              <w:rPr>
                <w:rFonts w:cs="Times New Roman"/>
              </w:rPr>
              <w:t>gurnosne provjere CARNET-ovih aplikacija i servisa</w:t>
            </w:r>
          </w:p>
        </w:tc>
        <w:tc>
          <w:tcPr>
            <w:tcW w:w="2245" w:type="dxa"/>
            <w:vAlign w:val="top"/>
          </w:tcPr>
          <w:p w:rsidR="009520A9" w:rsidRDefault="00770482">
            <w:pPr>
              <w:pStyle w:val="CellColumn"/>
              <w:jc w:val="left"/>
            </w:pPr>
            <w:r>
              <w:rPr>
                <w:rFonts w:cs="Times New Roman"/>
              </w:rPr>
              <w:t>Provedba provjera ranjivosti ustanova članica CARNET mreže i sigurnosnih provjera aplikacija i servisa</w:t>
            </w:r>
          </w:p>
        </w:tc>
        <w:tc>
          <w:tcPr>
            <w:tcW w:w="918" w:type="dxa"/>
          </w:tcPr>
          <w:p w:rsidR="009520A9" w:rsidRDefault="00770482">
            <w:pPr>
              <w:jc w:val="center"/>
            </w:pPr>
            <w:r>
              <w:t>Broj provedenih sigurnosnih provjera i broj provjera ranjivosti</w:t>
            </w:r>
          </w:p>
        </w:tc>
        <w:tc>
          <w:tcPr>
            <w:tcW w:w="918" w:type="dxa"/>
          </w:tcPr>
          <w:p w:rsidR="009520A9" w:rsidRDefault="00770482">
            <w:pPr>
              <w:jc w:val="center"/>
            </w:pPr>
            <w:r>
              <w:t>210</w:t>
            </w:r>
          </w:p>
        </w:tc>
        <w:tc>
          <w:tcPr>
            <w:tcW w:w="918" w:type="dxa"/>
          </w:tcPr>
          <w:p w:rsidR="009520A9" w:rsidRDefault="00770482">
            <w:pPr>
              <w:pStyle w:val="CellColumn"/>
              <w:jc w:val="center"/>
            </w:pPr>
            <w:r>
              <w:rPr>
                <w:rFonts w:cs="Times New Roman"/>
              </w:rPr>
              <w:t>Godišnji izvještaj o radu Nacionalnog CERT-a</w:t>
            </w:r>
          </w:p>
        </w:tc>
        <w:tc>
          <w:tcPr>
            <w:tcW w:w="918" w:type="dxa"/>
          </w:tcPr>
          <w:p w:rsidR="009520A9" w:rsidRDefault="00770482">
            <w:pPr>
              <w:jc w:val="center"/>
            </w:pPr>
            <w:r>
              <w:t>210</w:t>
            </w:r>
          </w:p>
        </w:tc>
        <w:tc>
          <w:tcPr>
            <w:tcW w:w="918" w:type="dxa"/>
          </w:tcPr>
          <w:p w:rsidR="009520A9" w:rsidRDefault="00770482">
            <w:pPr>
              <w:jc w:val="center"/>
            </w:pPr>
            <w:r>
              <w:t>210</w:t>
            </w:r>
          </w:p>
        </w:tc>
        <w:tc>
          <w:tcPr>
            <w:tcW w:w="918" w:type="dxa"/>
          </w:tcPr>
          <w:p w:rsidR="009520A9" w:rsidRDefault="00770482">
            <w:pPr>
              <w:jc w:val="center"/>
            </w:pPr>
            <w:r>
              <w:t>210</w:t>
            </w:r>
          </w:p>
        </w:tc>
      </w:tr>
      <w:tr w:rsidR="009520A9">
        <w:trPr>
          <w:jc w:val="center"/>
        </w:trPr>
        <w:tc>
          <w:tcPr>
            <w:tcW w:w="2245" w:type="dxa"/>
            <w:vAlign w:val="top"/>
          </w:tcPr>
          <w:p w:rsidR="009520A9" w:rsidRDefault="00770482">
            <w:pPr>
              <w:pStyle w:val="CellColumn"/>
              <w:jc w:val="left"/>
            </w:pPr>
            <w:r>
              <w:rPr>
                <w:rFonts w:cs="Times New Roman"/>
              </w:rPr>
              <w:t>Obrada računalno-sigurnosnih incidenata – analiza, upravljanje incidentom i izvještavanje</w:t>
            </w:r>
          </w:p>
        </w:tc>
        <w:tc>
          <w:tcPr>
            <w:tcW w:w="2245" w:type="dxa"/>
            <w:vAlign w:val="top"/>
          </w:tcPr>
          <w:p w:rsidR="009520A9" w:rsidRDefault="00770482">
            <w:pPr>
              <w:pStyle w:val="CellColumn"/>
              <w:jc w:val="left"/>
            </w:pPr>
            <w:r>
              <w:rPr>
                <w:rFonts w:cs="Times New Roman"/>
              </w:rPr>
              <w:t>Obrada incidenata prijavljenih Nacionalnom CERT-u, uz analizu i izvještavanje o incidentu</w:t>
            </w:r>
          </w:p>
        </w:tc>
        <w:tc>
          <w:tcPr>
            <w:tcW w:w="918" w:type="dxa"/>
          </w:tcPr>
          <w:p w:rsidR="009520A9" w:rsidRDefault="00770482">
            <w:pPr>
              <w:jc w:val="center"/>
            </w:pPr>
            <w:r>
              <w:t>Broj incidenata</w:t>
            </w:r>
          </w:p>
        </w:tc>
        <w:tc>
          <w:tcPr>
            <w:tcW w:w="918" w:type="dxa"/>
          </w:tcPr>
          <w:p w:rsidR="009520A9" w:rsidRDefault="00770482">
            <w:pPr>
              <w:jc w:val="center"/>
            </w:pPr>
            <w:r>
              <w:t>12</w:t>
            </w:r>
            <w:r>
              <w:t>00</w:t>
            </w:r>
          </w:p>
        </w:tc>
        <w:tc>
          <w:tcPr>
            <w:tcW w:w="918" w:type="dxa"/>
          </w:tcPr>
          <w:p w:rsidR="009520A9" w:rsidRDefault="00770482">
            <w:pPr>
              <w:pStyle w:val="CellColumn"/>
              <w:jc w:val="center"/>
            </w:pPr>
            <w:r>
              <w:rPr>
                <w:rFonts w:cs="Times New Roman"/>
              </w:rPr>
              <w:t>Godišnji izvještaj o radu Nacionalnog CERT-a</w:t>
            </w:r>
          </w:p>
        </w:tc>
        <w:tc>
          <w:tcPr>
            <w:tcW w:w="918" w:type="dxa"/>
          </w:tcPr>
          <w:p w:rsidR="009520A9" w:rsidRDefault="00770482">
            <w:pPr>
              <w:jc w:val="center"/>
            </w:pPr>
            <w:r>
              <w:t>1200</w:t>
            </w:r>
          </w:p>
        </w:tc>
        <w:tc>
          <w:tcPr>
            <w:tcW w:w="918" w:type="dxa"/>
          </w:tcPr>
          <w:p w:rsidR="009520A9" w:rsidRDefault="00770482">
            <w:pPr>
              <w:jc w:val="center"/>
            </w:pPr>
            <w:r>
              <w:t>1200</w:t>
            </w:r>
          </w:p>
        </w:tc>
        <w:tc>
          <w:tcPr>
            <w:tcW w:w="918" w:type="dxa"/>
          </w:tcPr>
          <w:p w:rsidR="009520A9" w:rsidRDefault="00770482">
            <w:pPr>
              <w:jc w:val="center"/>
            </w:pPr>
            <w:r>
              <w:t>1200</w:t>
            </w:r>
          </w:p>
        </w:tc>
      </w:tr>
    </w:tbl>
    <w:p w:rsidR="009520A9" w:rsidRDefault="009520A9">
      <w:pPr>
        <w:jc w:val="left"/>
      </w:pPr>
    </w:p>
    <w:p w:rsidR="009520A9" w:rsidRDefault="00770482">
      <w:pPr>
        <w:pStyle w:val="Heading4"/>
      </w:pPr>
      <w:r>
        <w:t>A628011 PROGRAM TELEKOMUNIKACIJSKIH KAPACITETA ZA MREŽU CARNET</w:t>
      </w:r>
    </w:p>
    <w:p w:rsidR="009520A9" w:rsidRDefault="00770482">
      <w:pPr>
        <w:pStyle w:val="Heading8"/>
        <w:jc w:val="left"/>
      </w:pPr>
      <w:r>
        <w:t>Zakonske i druge pravne osnove</w:t>
      </w:r>
    </w:p>
    <w:p w:rsidR="009520A9" w:rsidRDefault="00770482">
      <w:r>
        <w:t>●</w:t>
      </w:r>
      <w:r>
        <w:tab/>
        <w:t xml:space="preserve">Uredba o Hrvatskoj akademskoj i istraživačkoj mreži CARNET </w:t>
      </w:r>
    </w:p>
    <w:p w:rsidR="009520A9" w:rsidRDefault="00770482">
      <w:r>
        <w:t>●</w:t>
      </w:r>
      <w:r>
        <w:tab/>
        <w:t xml:space="preserve">Statut Hrvatske akademske i istraživačke mreže CARNET            </w:t>
      </w:r>
    </w:p>
    <w:p w:rsidR="009520A9" w:rsidRDefault="00770482">
      <w:r>
        <w:t>●</w:t>
      </w:r>
      <w:r>
        <w:tab/>
        <w:t>Odluka MZOS-a o stjecanju statuta i pravima korisnika CARNET-a, koja proizlaze iz djelatnosti CARNET-a propisanih člankom 4. Uredbe o osnivanju Hrvatske akademske i istraživačke mreže CA</w:t>
      </w:r>
      <w:r>
        <w:t xml:space="preserve">RNET </w:t>
      </w:r>
    </w:p>
    <w:p w:rsidR="009520A9" w:rsidRDefault="00770482">
      <w:r>
        <w:t>●</w:t>
      </w:r>
      <w:r>
        <w:tab/>
        <w:t xml:space="preserve">Odluke Vlade Republike Hrvatske o suradnji na poticanju primjene informacijske i komunikacijske tehnologije za potrebe zdravstvenog sustava Republike Hrvatske od 13. ožujka 2013. godine (Klasa: 022-03/13-04/86, Ur.broj: 50301-04/12-13-2) </w:t>
      </w:r>
    </w:p>
    <w:p w:rsidR="009520A9" w:rsidRDefault="00770482">
      <w:r>
        <w:t>●</w:t>
      </w:r>
      <w:r>
        <w:tab/>
        <w:t xml:space="preserve">Odluka </w:t>
      </w:r>
      <w:r>
        <w:t xml:space="preserve">Vlade Republike Hrvatske o suradnji na poticanju primjene informacijske i komunikacijske tehnologije za potrebe Hrvatskog zavoda za mirovinsko osiguranje od 21.05.2015. (Klasa: 022-03/15-04/200, Ur.broj: 50301-04/04-15-2) </w:t>
      </w:r>
    </w:p>
    <w:p w:rsidR="009520A9" w:rsidRDefault="00770482">
      <w:r>
        <w:t>●</w:t>
      </w:r>
      <w:r>
        <w:tab/>
        <w:t xml:space="preserve">Odluka o suradnji na poticanju </w:t>
      </w:r>
      <w:r>
        <w:t xml:space="preserve">primjene informacijske i komunikacijske tehnologije za potrebe Ministarstva socijalne politike i mladih od 30. kolovoza 2012.(Klasa: 650-05/12-04/01; Ur.br: 5030112-12-1) </w:t>
      </w:r>
    </w:p>
    <w:p w:rsidR="009520A9" w:rsidRDefault="00770482">
      <w:r>
        <w:t>●</w:t>
      </w:r>
      <w:r>
        <w:tab/>
        <w:t>Odluka Vlade Republike Hrvatske o suradnji na poticanju primjene informacijske i k</w:t>
      </w:r>
      <w:r>
        <w:t>omunikacijske tehnologije za potrebe Ministarstva zaštite okoliša i prirode od 08. srpnja 2015. (Klasa: 022-03/15-04/275, Urbroj: 50301-05/25-15-2)</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A628011</w:t>
            </w:r>
          </w:p>
        </w:tc>
        <w:tc>
          <w:tcPr>
            <w:tcW w:w="1632" w:type="dxa"/>
            <w:vAlign w:val="top"/>
          </w:tcPr>
          <w:p w:rsidR="009520A9" w:rsidRDefault="00770482">
            <w:pPr>
              <w:jc w:val="right"/>
            </w:pPr>
            <w:r>
              <w:t>4.177.885</w:t>
            </w:r>
          </w:p>
        </w:tc>
        <w:tc>
          <w:tcPr>
            <w:tcW w:w="1632" w:type="dxa"/>
            <w:vAlign w:val="top"/>
          </w:tcPr>
          <w:p w:rsidR="009520A9" w:rsidRDefault="00770482">
            <w:pPr>
              <w:jc w:val="right"/>
            </w:pPr>
            <w:r>
              <w:t>4.483.663</w:t>
            </w:r>
          </w:p>
        </w:tc>
        <w:tc>
          <w:tcPr>
            <w:tcW w:w="1632" w:type="dxa"/>
            <w:vAlign w:val="top"/>
          </w:tcPr>
          <w:p w:rsidR="009520A9" w:rsidRDefault="00770482">
            <w:pPr>
              <w:jc w:val="right"/>
            </w:pPr>
            <w:r>
              <w:t>4.811.566</w:t>
            </w:r>
          </w:p>
        </w:tc>
        <w:tc>
          <w:tcPr>
            <w:tcW w:w="1632" w:type="dxa"/>
            <w:vAlign w:val="top"/>
          </w:tcPr>
          <w:p w:rsidR="009520A9" w:rsidRDefault="00770482">
            <w:pPr>
              <w:jc w:val="right"/>
            </w:pPr>
            <w:r>
              <w:t>4.811.566</w:t>
            </w:r>
          </w:p>
        </w:tc>
        <w:tc>
          <w:tcPr>
            <w:tcW w:w="1632" w:type="dxa"/>
            <w:vAlign w:val="top"/>
          </w:tcPr>
          <w:p w:rsidR="009520A9" w:rsidRDefault="00770482">
            <w:pPr>
              <w:jc w:val="right"/>
            </w:pPr>
            <w:r>
              <w:t>4.811.566</w:t>
            </w:r>
          </w:p>
        </w:tc>
        <w:tc>
          <w:tcPr>
            <w:tcW w:w="510" w:type="dxa"/>
            <w:vAlign w:val="top"/>
          </w:tcPr>
          <w:p w:rsidR="009520A9" w:rsidRDefault="00770482">
            <w:pPr>
              <w:jc w:val="right"/>
            </w:pPr>
            <w:r>
              <w:t>107,3</w:t>
            </w:r>
          </w:p>
        </w:tc>
      </w:tr>
    </w:tbl>
    <w:p w:rsidR="009520A9" w:rsidRDefault="009520A9">
      <w:pPr>
        <w:jc w:val="left"/>
      </w:pPr>
    </w:p>
    <w:p w:rsidR="009520A9" w:rsidRDefault="00770482">
      <w:r>
        <w:t>Cilj programa je povezati lokacije punopravnih ustanova članica iz sustava Ministarstva znanosti i obrazovanja u privatnu mrežu CARNET adekvatnim brzinama i tehnologijama spojenosti, a sukladno stva</w:t>
      </w:r>
      <w:r>
        <w:t xml:space="preserve">rnim potrebama krajnjih korisnika. Povezivanje ustanova se obavlja korištenjem različitih prijenosnih tehnologija u pristupnom dijelu mreže, omogućavajući tako korištenje CARNET-ovih usluga. Zbog porasta broja ustanova, potrebe za većim brzinama prijenosa </w:t>
      </w:r>
      <w:r>
        <w:t>podataka, ali i same kvalitete mrežne povezanosti ustanova, kao i nastojanjima da se omogući veza nespojenim lokacijama očekuje se povećanje vezanih telekomunikacijskih troškova. Također brzina i kvaliteta mrežne povezanosti visokoobrazovnih ustanova jedan</w:t>
      </w:r>
      <w:r>
        <w:t xml:space="preserve"> je od preduvjeta uspješne realizacije projekata e-Sveučilišta. Od ukupnog broja lokacija iz nadležnosti Ministarstva znanosti i obrazovanja (3267) spojeno je na dan 31.08.2023. 3153 lokacije ustanova. Od ukupnog broja lokacija škola (2667) spojeno je na d</w:t>
      </w:r>
      <w:r>
        <w:t xml:space="preserve">an 31.08.2023. 2614 lokacija škola. Od ukupnog broja lokacija visokoobrazovni ustanova (515) spojeno je na dan 31.08.2023. 467 lokacija viskoobrazovnih ustanova. </w:t>
      </w:r>
    </w:p>
    <w:p w:rsidR="009520A9" w:rsidRDefault="00770482">
      <w:r>
        <w:t>Temeljem odluka Vlade Republike Hrvatske omogućena je suradnja između CARNET-a i Ministarstva</w:t>
      </w:r>
      <w:r>
        <w:t xml:space="preserve"> zdravstva, Ministarstva rada, mirovinskoga sustava, obitelji i socijalne politike, te Ministarstva gospodarstva i održivog razvoja. </w:t>
      </w:r>
    </w:p>
    <w:p w:rsidR="009520A9" w:rsidRDefault="00770482">
      <w:r>
        <w:t>CARNET kao ustanova čija je djelatnost od interesa za Republiku Hrvatsku i koja posjeduje potrebnu informacijsko-komunikac</w:t>
      </w:r>
      <w:r>
        <w:t>ijsku infrastrukturu, svojim iskustvom i znanjem pružit će potrebnu pomoć navedenim ministarstvima za spajanje lokacija ustanova u jedinstvenu komunikacijsku mrežu, a posebno javnim ustanovama iz njegovih nadležnosti. Lokacije ustanova koje CARNET povezuje</w:t>
      </w:r>
      <w:r>
        <w:t xml:space="preserve"> iz nadležnosti Ministarstva zdravstva su HZZO, HZTM, HZHM i HZJZ, a iz nadležnosti Ministarstva rada, mirovinskoga sustava, obitelji i socijalne politike su Hrvatski zavod za mirovinsko osiguranje i Centar za socijalnu skrb. </w:t>
      </w:r>
    </w:p>
    <w:p w:rsidR="009520A9" w:rsidRDefault="00770482">
      <w:r>
        <w:t>Zbog stalnog nastojanja da se</w:t>
      </w:r>
      <w:r>
        <w:t xml:space="preserve"> omogući veća brzina i kvaliteta mrežne povezanosti ustanova iz spomenutih ministarstava te zbog porasta broja nespojenih lokacija dolazi do povećanja telekomunikacijskih troškova.Od ukupnog broja lokacija iz nadležnosti Ministarstva zdravstva koje CARNET </w:t>
      </w:r>
      <w:r>
        <w:t xml:space="preserve">ima u evidenciji (1092) spojeno je na dan 31.08.2023. 798 lokacija ustanova.  </w:t>
      </w:r>
    </w:p>
    <w:p w:rsidR="009520A9" w:rsidRDefault="00770482">
      <w:r>
        <w:t xml:space="preserve">Od ukupnog broja lokacija iz nadležnosti Ministarstva, rada, mirovinskog sustava, obitelji i socijalne politike koje CARNET ima u evidenciji (283) spojeno je na dan 31.08.2023. </w:t>
      </w:r>
      <w:r>
        <w:t xml:space="preserve">280 lokacija ustanova.   </w:t>
      </w:r>
    </w:p>
    <w:p w:rsidR="009520A9" w:rsidRDefault="00770482">
      <w:r>
        <w:t xml:space="preserve">Od ukupnog broja lokacija iz nadležnosti Ministarstva gospodarstva i održivog razvoja koje CARNET ima u evidenciji (8) spojeno je na dan 31.08.2023. 8 lokacije ustanova. </w:t>
      </w:r>
    </w:p>
    <w:p w:rsidR="009520A9" w:rsidRDefault="00770482">
      <w:r>
        <w:t>Ustanove se spajanju različitim tehnologijama i brzinama, a</w:t>
      </w:r>
      <w:r>
        <w:t xml:space="preserve"> CARNET surađuje s četrnaest različitih davatelja usluga u RH. Prije odabira pojedinog davatelja usluge mrežne povezanosti i tehnologije spajanja CARNET provodi istraživanje tržišta pri čemu uključuje sve operatore koji imaju dostupnu uslugu na određenom p</w:t>
      </w:r>
      <w:r>
        <w:t>odručju RH.  Korištene tehnologije spajanja su: svjetlovod, kapacitet, aDSL, vDSL, FTTH, bežična veza, GSM.</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Postotak umreženih znanstvenih i visoko obrazovnih i ustanova</w:t>
            </w:r>
          </w:p>
        </w:tc>
        <w:tc>
          <w:tcPr>
            <w:tcW w:w="2245" w:type="dxa"/>
            <w:vAlign w:val="top"/>
          </w:tcPr>
          <w:p w:rsidR="009520A9" w:rsidRDefault="00770482">
            <w:pPr>
              <w:pStyle w:val="CellColumn"/>
              <w:jc w:val="left"/>
            </w:pPr>
            <w:r>
              <w:rPr>
                <w:rFonts w:cs="Times New Roman"/>
              </w:rPr>
              <w:t>Postotak ustanova iz sustava znanosti i visokog obrazovanja povezanih na CARNET mrežu</w:t>
            </w:r>
          </w:p>
        </w:tc>
        <w:tc>
          <w:tcPr>
            <w:tcW w:w="918" w:type="dxa"/>
          </w:tcPr>
          <w:p w:rsidR="009520A9" w:rsidRDefault="00770482">
            <w:pPr>
              <w:jc w:val="center"/>
            </w:pPr>
            <w:r>
              <w:t>%</w:t>
            </w:r>
          </w:p>
        </w:tc>
        <w:tc>
          <w:tcPr>
            <w:tcW w:w="918" w:type="dxa"/>
          </w:tcPr>
          <w:p w:rsidR="009520A9" w:rsidRDefault="00770482">
            <w:pPr>
              <w:jc w:val="center"/>
            </w:pPr>
            <w:r>
              <w:t>91</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94</w:t>
            </w:r>
          </w:p>
        </w:tc>
        <w:tc>
          <w:tcPr>
            <w:tcW w:w="918" w:type="dxa"/>
          </w:tcPr>
          <w:p w:rsidR="009520A9" w:rsidRDefault="00770482">
            <w:pPr>
              <w:jc w:val="center"/>
            </w:pPr>
            <w:r>
              <w:t>97</w:t>
            </w:r>
          </w:p>
        </w:tc>
        <w:tc>
          <w:tcPr>
            <w:tcW w:w="918" w:type="dxa"/>
          </w:tcPr>
          <w:p w:rsidR="009520A9" w:rsidRDefault="00770482">
            <w:pPr>
              <w:jc w:val="center"/>
            </w:pPr>
            <w:r>
              <w:t>100</w:t>
            </w:r>
          </w:p>
        </w:tc>
      </w:tr>
      <w:tr w:rsidR="009520A9">
        <w:trPr>
          <w:jc w:val="center"/>
        </w:trPr>
        <w:tc>
          <w:tcPr>
            <w:tcW w:w="2245" w:type="dxa"/>
            <w:vAlign w:val="top"/>
          </w:tcPr>
          <w:p w:rsidR="009520A9" w:rsidRDefault="00770482">
            <w:pPr>
              <w:pStyle w:val="CellColumn"/>
              <w:jc w:val="left"/>
            </w:pPr>
            <w:r>
              <w:rPr>
                <w:rFonts w:cs="Times New Roman"/>
              </w:rPr>
              <w:t>Postotak umreženih škola</w:t>
            </w:r>
          </w:p>
        </w:tc>
        <w:tc>
          <w:tcPr>
            <w:tcW w:w="2245" w:type="dxa"/>
            <w:vAlign w:val="top"/>
          </w:tcPr>
          <w:p w:rsidR="009520A9" w:rsidRDefault="00770482">
            <w:pPr>
              <w:pStyle w:val="CellColumn"/>
              <w:jc w:val="left"/>
            </w:pPr>
            <w:r>
              <w:rPr>
                <w:rFonts w:cs="Times New Roman"/>
              </w:rPr>
              <w:t>Postotak osnovnih i srednjih škola povezanih na CARNET mrežu</w:t>
            </w:r>
          </w:p>
        </w:tc>
        <w:tc>
          <w:tcPr>
            <w:tcW w:w="918" w:type="dxa"/>
          </w:tcPr>
          <w:p w:rsidR="009520A9" w:rsidRDefault="00770482">
            <w:pPr>
              <w:jc w:val="center"/>
            </w:pPr>
            <w:r>
              <w:t>%</w:t>
            </w:r>
          </w:p>
        </w:tc>
        <w:tc>
          <w:tcPr>
            <w:tcW w:w="918" w:type="dxa"/>
          </w:tcPr>
          <w:p w:rsidR="009520A9" w:rsidRDefault="00770482">
            <w:pPr>
              <w:jc w:val="center"/>
            </w:pPr>
            <w:r>
              <w:t>98</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99</w:t>
            </w:r>
          </w:p>
        </w:tc>
        <w:tc>
          <w:tcPr>
            <w:tcW w:w="918" w:type="dxa"/>
          </w:tcPr>
          <w:p w:rsidR="009520A9" w:rsidRDefault="00770482">
            <w:pPr>
              <w:jc w:val="center"/>
            </w:pPr>
            <w:r>
              <w:t>100</w:t>
            </w:r>
          </w:p>
        </w:tc>
        <w:tc>
          <w:tcPr>
            <w:tcW w:w="918" w:type="dxa"/>
          </w:tcPr>
          <w:p w:rsidR="009520A9" w:rsidRDefault="00770482">
            <w:pPr>
              <w:jc w:val="center"/>
            </w:pPr>
            <w:r>
              <w:t>100</w:t>
            </w:r>
          </w:p>
        </w:tc>
      </w:tr>
      <w:tr w:rsidR="009520A9">
        <w:trPr>
          <w:jc w:val="center"/>
        </w:trPr>
        <w:tc>
          <w:tcPr>
            <w:tcW w:w="2245" w:type="dxa"/>
            <w:vAlign w:val="top"/>
          </w:tcPr>
          <w:p w:rsidR="009520A9" w:rsidRDefault="00770482">
            <w:pPr>
              <w:pStyle w:val="CellColumn"/>
              <w:jc w:val="left"/>
            </w:pPr>
            <w:r>
              <w:rPr>
                <w:rFonts w:cs="Times New Roman"/>
              </w:rPr>
              <w:t>Postotak umreženih ustanova iz sustava MIZ</w:t>
            </w:r>
          </w:p>
        </w:tc>
        <w:tc>
          <w:tcPr>
            <w:tcW w:w="2245" w:type="dxa"/>
            <w:vAlign w:val="top"/>
          </w:tcPr>
          <w:p w:rsidR="009520A9" w:rsidRDefault="00770482">
            <w:pPr>
              <w:pStyle w:val="CellColumn"/>
              <w:jc w:val="left"/>
            </w:pPr>
            <w:r>
              <w:rPr>
                <w:rFonts w:cs="Times New Roman"/>
              </w:rPr>
              <w:t>Postotak ustanova iz sustava MIZ povezanih na CARNET mrežu</w:t>
            </w:r>
          </w:p>
        </w:tc>
        <w:tc>
          <w:tcPr>
            <w:tcW w:w="918" w:type="dxa"/>
          </w:tcPr>
          <w:p w:rsidR="009520A9" w:rsidRDefault="00770482">
            <w:pPr>
              <w:jc w:val="center"/>
            </w:pPr>
            <w:r>
              <w:t>%</w:t>
            </w:r>
          </w:p>
        </w:tc>
        <w:tc>
          <w:tcPr>
            <w:tcW w:w="918" w:type="dxa"/>
          </w:tcPr>
          <w:p w:rsidR="009520A9" w:rsidRDefault="00770482">
            <w:pPr>
              <w:jc w:val="center"/>
            </w:pPr>
            <w:r>
              <w:t>98</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75</w:t>
            </w:r>
          </w:p>
        </w:tc>
        <w:tc>
          <w:tcPr>
            <w:tcW w:w="918" w:type="dxa"/>
          </w:tcPr>
          <w:p w:rsidR="009520A9" w:rsidRDefault="00770482">
            <w:pPr>
              <w:jc w:val="center"/>
            </w:pPr>
            <w:r>
              <w:t>80</w:t>
            </w:r>
          </w:p>
        </w:tc>
        <w:tc>
          <w:tcPr>
            <w:tcW w:w="918" w:type="dxa"/>
          </w:tcPr>
          <w:p w:rsidR="009520A9" w:rsidRDefault="00770482">
            <w:pPr>
              <w:jc w:val="center"/>
            </w:pPr>
            <w:r>
              <w:t>85</w:t>
            </w:r>
          </w:p>
        </w:tc>
      </w:tr>
      <w:tr w:rsidR="009520A9">
        <w:trPr>
          <w:jc w:val="center"/>
        </w:trPr>
        <w:tc>
          <w:tcPr>
            <w:tcW w:w="2245" w:type="dxa"/>
            <w:vAlign w:val="top"/>
          </w:tcPr>
          <w:p w:rsidR="009520A9" w:rsidRDefault="00770482">
            <w:pPr>
              <w:pStyle w:val="CellColumn"/>
              <w:jc w:val="left"/>
            </w:pPr>
            <w:r>
              <w:rPr>
                <w:rFonts w:cs="Times New Roman"/>
              </w:rPr>
              <w:t>Postotak umreženih ustanova iz sustava MRMSOSP</w:t>
            </w:r>
          </w:p>
        </w:tc>
        <w:tc>
          <w:tcPr>
            <w:tcW w:w="2245" w:type="dxa"/>
            <w:vAlign w:val="top"/>
          </w:tcPr>
          <w:p w:rsidR="009520A9" w:rsidRDefault="00770482">
            <w:pPr>
              <w:pStyle w:val="CellColumn"/>
              <w:jc w:val="left"/>
            </w:pPr>
            <w:r>
              <w:rPr>
                <w:rFonts w:cs="Times New Roman"/>
              </w:rPr>
              <w:t>Postotak ustanova iz sustava MRMSOSP povezanih na CARNET mrežu</w:t>
            </w:r>
          </w:p>
        </w:tc>
        <w:tc>
          <w:tcPr>
            <w:tcW w:w="918" w:type="dxa"/>
          </w:tcPr>
          <w:p w:rsidR="009520A9" w:rsidRDefault="00770482">
            <w:pPr>
              <w:jc w:val="center"/>
            </w:pPr>
            <w:r>
              <w:t>%</w:t>
            </w:r>
          </w:p>
        </w:tc>
        <w:tc>
          <w:tcPr>
            <w:tcW w:w="918" w:type="dxa"/>
          </w:tcPr>
          <w:p w:rsidR="009520A9" w:rsidRDefault="00770482">
            <w:pPr>
              <w:jc w:val="center"/>
            </w:pPr>
            <w:r>
              <w:t>99</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100</w:t>
            </w:r>
          </w:p>
        </w:tc>
        <w:tc>
          <w:tcPr>
            <w:tcW w:w="918" w:type="dxa"/>
          </w:tcPr>
          <w:p w:rsidR="009520A9" w:rsidRDefault="00770482">
            <w:pPr>
              <w:jc w:val="center"/>
            </w:pPr>
            <w:r>
              <w:t>100</w:t>
            </w:r>
          </w:p>
        </w:tc>
        <w:tc>
          <w:tcPr>
            <w:tcW w:w="918" w:type="dxa"/>
          </w:tcPr>
          <w:p w:rsidR="009520A9" w:rsidRDefault="00770482">
            <w:pPr>
              <w:jc w:val="center"/>
            </w:pPr>
            <w:r>
              <w:t>100</w:t>
            </w:r>
          </w:p>
        </w:tc>
      </w:tr>
      <w:tr w:rsidR="009520A9">
        <w:trPr>
          <w:jc w:val="center"/>
        </w:trPr>
        <w:tc>
          <w:tcPr>
            <w:tcW w:w="2245" w:type="dxa"/>
            <w:vAlign w:val="top"/>
          </w:tcPr>
          <w:p w:rsidR="009520A9" w:rsidRDefault="00770482">
            <w:pPr>
              <w:pStyle w:val="CellColumn"/>
              <w:jc w:val="left"/>
            </w:pPr>
            <w:r>
              <w:rPr>
                <w:rFonts w:cs="Times New Roman"/>
              </w:rPr>
              <w:t>Postotak umreženih ustanova iz sustava MINGOR</w:t>
            </w:r>
          </w:p>
        </w:tc>
        <w:tc>
          <w:tcPr>
            <w:tcW w:w="2245" w:type="dxa"/>
            <w:vAlign w:val="top"/>
          </w:tcPr>
          <w:p w:rsidR="009520A9" w:rsidRDefault="00770482">
            <w:pPr>
              <w:pStyle w:val="CellColumn"/>
              <w:jc w:val="left"/>
            </w:pPr>
            <w:r>
              <w:rPr>
                <w:rFonts w:cs="Times New Roman"/>
              </w:rPr>
              <w:t>Postotak ustanova iz sustava MINGOR povezanih na CARNET mrežu</w:t>
            </w:r>
          </w:p>
        </w:tc>
        <w:tc>
          <w:tcPr>
            <w:tcW w:w="918" w:type="dxa"/>
          </w:tcPr>
          <w:p w:rsidR="009520A9" w:rsidRDefault="00770482">
            <w:pPr>
              <w:jc w:val="center"/>
            </w:pPr>
            <w:r>
              <w:t>%</w:t>
            </w:r>
          </w:p>
        </w:tc>
        <w:tc>
          <w:tcPr>
            <w:tcW w:w="918" w:type="dxa"/>
          </w:tcPr>
          <w:p w:rsidR="009520A9" w:rsidRDefault="00770482">
            <w:pPr>
              <w:jc w:val="center"/>
            </w:pPr>
            <w:r>
              <w:t>100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100</w:t>
            </w:r>
          </w:p>
        </w:tc>
        <w:tc>
          <w:tcPr>
            <w:tcW w:w="918" w:type="dxa"/>
          </w:tcPr>
          <w:p w:rsidR="009520A9" w:rsidRDefault="00770482">
            <w:pPr>
              <w:jc w:val="center"/>
            </w:pPr>
            <w:r>
              <w:t>100</w:t>
            </w:r>
          </w:p>
        </w:tc>
        <w:tc>
          <w:tcPr>
            <w:tcW w:w="918" w:type="dxa"/>
          </w:tcPr>
          <w:p w:rsidR="009520A9" w:rsidRDefault="00770482">
            <w:pPr>
              <w:jc w:val="center"/>
            </w:pPr>
            <w:r>
              <w:t>100</w:t>
            </w:r>
          </w:p>
        </w:tc>
      </w:tr>
    </w:tbl>
    <w:p w:rsidR="009520A9" w:rsidRDefault="009520A9">
      <w:pPr>
        <w:jc w:val="left"/>
      </w:pPr>
    </w:p>
    <w:p w:rsidR="009520A9" w:rsidRDefault="00770482">
      <w:pPr>
        <w:pStyle w:val="Heading4"/>
      </w:pPr>
      <w:r>
        <w:t>A628015 UKLJUČIVANJE MREŽE CARNET U PAN-EUROPSKE AKADEMSKE I ISTRAŽIVAČKE MREŽE</w:t>
      </w:r>
    </w:p>
    <w:p w:rsidR="009520A9" w:rsidRDefault="00770482">
      <w:pPr>
        <w:pStyle w:val="Heading8"/>
        <w:jc w:val="left"/>
      </w:pPr>
      <w:r>
        <w:t>Zakonske i druge pravne osnove</w:t>
      </w:r>
    </w:p>
    <w:p w:rsidR="009520A9" w:rsidRDefault="00770482">
      <w:r>
        <w:t>●</w:t>
      </w:r>
      <w:r>
        <w:tab/>
        <w:t xml:space="preserve">Uredba o Hrvatskoj akademskoj i istraživačkoj mreži CARNET       </w:t>
      </w:r>
    </w:p>
    <w:p w:rsidR="009520A9" w:rsidRDefault="00770482">
      <w:r>
        <w:t>●</w:t>
      </w:r>
      <w:r>
        <w:tab/>
        <w:t>Statut Hrvatske akademske i istraživačke mreže CARNET</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A628015</w:t>
            </w:r>
          </w:p>
        </w:tc>
        <w:tc>
          <w:tcPr>
            <w:tcW w:w="1632" w:type="dxa"/>
            <w:vAlign w:val="top"/>
          </w:tcPr>
          <w:p w:rsidR="009520A9" w:rsidRDefault="00770482">
            <w:pPr>
              <w:jc w:val="right"/>
            </w:pPr>
            <w:r>
              <w:t>425.256</w:t>
            </w:r>
          </w:p>
        </w:tc>
        <w:tc>
          <w:tcPr>
            <w:tcW w:w="1632" w:type="dxa"/>
            <w:vAlign w:val="top"/>
          </w:tcPr>
          <w:p w:rsidR="009520A9" w:rsidRDefault="00770482">
            <w:pPr>
              <w:jc w:val="right"/>
            </w:pPr>
            <w:r>
              <w:t>493.923</w:t>
            </w:r>
          </w:p>
        </w:tc>
        <w:tc>
          <w:tcPr>
            <w:tcW w:w="1632" w:type="dxa"/>
            <w:vAlign w:val="top"/>
          </w:tcPr>
          <w:p w:rsidR="009520A9" w:rsidRDefault="00770482">
            <w:pPr>
              <w:jc w:val="right"/>
            </w:pPr>
            <w:r>
              <w:t>519.918</w:t>
            </w:r>
          </w:p>
        </w:tc>
        <w:tc>
          <w:tcPr>
            <w:tcW w:w="1632" w:type="dxa"/>
            <w:vAlign w:val="top"/>
          </w:tcPr>
          <w:p w:rsidR="009520A9" w:rsidRDefault="00770482">
            <w:pPr>
              <w:jc w:val="right"/>
            </w:pPr>
            <w:r>
              <w:t>800.000</w:t>
            </w:r>
          </w:p>
        </w:tc>
        <w:tc>
          <w:tcPr>
            <w:tcW w:w="1632" w:type="dxa"/>
            <w:vAlign w:val="top"/>
          </w:tcPr>
          <w:p w:rsidR="009520A9" w:rsidRDefault="00770482">
            <w:pPr>
              <w:jc w:val="right"/>
            </w:pPr>
            <w:r>
              <w:t>800.000</w:t>
            </w:r>
          </w:p>
        </w:tc>
        <w:tc>
          <w:tcPr>
            <w:tcW w:w="510" w:type="dxa"/>
            <w:vAlign w:val="top"/>
          </w:tcPr>
          <w:p w:rsidR="009520A9" w:rsidRDefault="00770482">
            <w:pPr>
              <w:jc w:val="right"/>
            </w:pPr>
            <w:r>
              <w:t>105,3</w:t>
            </w:r>
          </w:p>
        </w:tc>
      </w:tr>
    </w:tbl>
    <w:p w:rsidR="009520A9" w:rsidRDefault="009520A9">
      <w:pPr>
        <w:jc w:val="left"/>
      </w:pPr>
    </w:p>
    <w:p w:rsidR="009520A9" w:rsidRDefault="00770482">
      <w:r>
        <w:t xml:space="preserve">CARNET mreža trenutno je povezana na pan-europsku GÉANT mrežu koja povezuje nacionalne akademske i istraživačke mreže europskih zemalja (37), te zemalja nordijske regije (5). Osnovni cilj GÉANT-a je uspostava sljedeće generacije mrežne infrastrukture koja </w:t>
      </w:r>
      <w:r>
        <w:t>će moći adekvatno pratiti potrebe europske, a time i hrvatske istraživačke, akademske i obrazovne zajednice. Cilj ove aktivnosti je međugradska povezanost CARNET mreže (linkovi), povezanost na pan-europsku GÉANT mrežu 100 Gb/s, te pristup na komercijalni I</w:t>
      </w:r>
      <w:r>
        <w:t>nternet brzinom od 4 Gb/s. Sredstva su planirana prema godišnjim Ugovorima za Geant Service Charge, Cogent GWS usage i Lumen GWS usage, te prema povijesnim podacima i cijenama na tržištu za povezanost županijskih i regionalnih čvorišta.</w:t>
      </w:r>
    </w:p>
    <w:p w:rsidR="009520A9" w:rsidRDefault="00770482">
      <w:pPr>
        <w:pStyle w:val="Heading8"/>
        <w:jc w:val="left"/>
      </w:pPr>
      <w:r>
        <w:t>Pokazatelji rezulta</w:t>
      </w:r>
      <w:r>
        <w:t>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Udio stupnja povezanosti u okosnici CARNET  mreže</w:t>
            </w:r>
          </w:p>
        </w:tc>
        <w:tc>
          <w:tcPr>
            <w:tcW w:w="2245" w:type="dxa"/>
            <w:vAlign w:val="top"/>
          </w:tcPr>
          <w:p w:rsidR="009520A9" w:rsidRDefault="00770482">
            <w:pPr>
              <w:pStyle w:val="CellColumn"/>
              <w:jc w:val="left"/>
            </w:pPr>
            <w:r>
              <w:rPr>
                <w:rFonts w:cs="Times New Roman"/>
              </w:rPr>
              <w:t>Osiguravanje mrežne povezanosti županijskih i regionalnih čvorišta u okosnici CARNET mreže</w:t>
            </w:r>
          </w:p>
        </w:tc>
        <w:tc>
          <w:tcPr>
            <w:tcW w:w="918" w:type="dxa"/>
          </w:tcPr>
          <w:p w:rsidR="009520A9" w:rsidRDefault="00770482">
            <w:pPr>
              <w:jc w:val="center"/>
            </w:pPr>
            <w:r>
              <w:t>%</w:t>
            </w:r>
          </w:p>
        </w:tc>
        <w:tc>
          <w:tcPr>
            <w:tcW w:w="918" w:type="dxa"/>
          </w:tcPr>
          <w:p w:rsidR="009520A9" w:rsidRDefault="00770482">
            <w:pPr>
              <w:jc w:val="center"/>
            </w:pPr>
            <w:r>
              <w:t>100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100</w:t>
            </w:r>
          </w:p>
        </w:tc>
        <w:tc>
          <w:tcPr>
            <w:tcW w:w="918" w:type="dxa"/>
          </w:tcPr>
          <w:p w:rsidR="009520A9" w:rsidRDefault="00770482">
            <w:pPr>
              <w:jc w:val="center"/>
            </w:pPr>
            <w:r>
              <w:t>100</w:t>
            </w:r>
          </w:p>
        </w:tc>
        <w:tc>
          <w:tcPr>
            <w:tcW w:w="918" w:type="dxa"/>
          </w:tcPr>
          <w:p w:rsidR="009520A9" w:rsidRDefault="00770482">
            <w:pPr>
              <w:jc w:val="center"/>
            </w:pPr>
            <w:r>
              <w:t>100</w:t>
            </w:r>
          </w:p>
        </w:tc>
      </w:tr>
      <w:tr w:rsidR="009520A9">
        <w:trPr>
          <w:jc w:val="center"/>
        </w:trPr>
        <w:tc>
          <w:tcPr>
            <w:tcW w:w="2245" w:type="dxa"/>
            <w:vAlign w:val="top"/>
          </w:tcPr>
          <w:p w:rsidR="009520A9" w:rsidRDefault="00770482">
            <w:pPr>
              <w:pStyle w:val="CellColumn"/>
              <w:jc w:val="left"/>
            </w:pPr>
            <w:r>
              <w:rPr>
                <w:rFonts w:cs="Times New Roman"/>
              </w:rPr>
              <w:t>Pristup GÉANT mreži brzinom od 100 Gb/s</w:t>
            </w:r>
          </w:p>
        </w:tc>
        <w:tc>
          <w:tcPr>
            <w:tcW w:w="2245" w:type="dxa"/>
            <w:vAlign w:val="top"/>
          </w:tcPr>
          <w:p w:rsidR="009520A9" w:rsidRDefault="00770482">
            <w:pPr>
              <w:pStyle w:val="CellColumn"/>
              <w:jc w:val="left"/>
            </w:pPr>
            <w:r>
              <w:rPr>
                <w:rFonts w:cs="Times New Roman"/>
              </w:rPr>
              <w:t>Povezanost privatne mreže CARNETna pan-ezropsku mrežu GÉANT brzine od 100 Gb/s</w:t>
            </w:r>
          </w:p>
        </w:tc>
        <w:tc>
          <w:tcPr>
            <w:tcW w:w="918" w:type="dxa"/>
          </w:tcPr>
          <w:p w:rsidR="009520A9" w:rsidRDefault="00770482">
            <w:pPr>
              <w:jc w:val="center"/>
            </w:pPr>
            <w:r>
              <w:t>%</w:t>
            </w:r>
          </w:p>
        </w:tc>
        <w:tc>
          <w:tcPr>
            <w:tcW w:w="918" w:type="dxa"/>
          </w:tcPr>
          <w:p w:rsidR="009520A9" w:rsidRDefault="00770482">
            <w:pPr>
              <w:jc w:val="center"/>
            </w:pPr>
            <w:r>
              <w:t>100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100</w:t>
            </w:r>
          </w:p>
        </w:tc>
        <w:tc>
          <w:tcPr>
            <w:tcW w:w="918" w:type="dxa"/>
          </w:tcPr>
          <w:p w:rsidR="009520A9" w:rsidRDefault="00770482">
            <w:pPr>
              <w:jc w:val="center"/>
            </w:pPr>
            <w:r>
              <w:t>100</w:t>
            </w:r>
          </w:p>
        </w:tc>
        <w:tc>
          <w:tcPr>
            <w:tcW w:w="918" w:type="dxa"/>
          </w:tcPr>
          <w:p w:rsidR="009520A9" w:rsidRDefault="00770482">
            <w:pPr>
              <w:jc w:val="center"/>
            </w:pPr>
            <w:r>
              <w:t>100</w:t>
            </w:r>
          </w:p>
        </w:tc>
      </w:tr>
      <w:tr w:rsidR="009520A9">
        <w:trPr>
          <w:jc w:val="center"/>
        </w:trPr>
        <w:tc>
          <w:tcPr>
            <w:tcW w:w="2245" w:type="dxa"/>
            <w:vAlign w:val="top"/>
          </w:tcPr>
          <w:p w:rsidR="009520A9" w:rsidRDefault="00770482">
            <w:pPr>
              <w:pStyle w:val="CellColumn"/>
              <w:jc w:val="left"/>
            </w:pPr>
            <w:r>
              <w:rPr>
                <w:rFonts w:cs="Times New Roman"/>
              </w:rPr>
              <w:t>Pristup Internet mreži brzinom od 4 Gb/s</w:t>
            </w:r>
          </w:p>
        </w:tc>
        <w:tc>
          <w:tcPr>
            <w:tcW w:w="2245" w:type="dxa"/>
            <w:vAlign w:val="top"/>
          </w:tcPr>
          <w:p w:rsidR="009520A9" w:rsidRDefault="00770482">
            <w:pPr>
              <w:pStyle w:val="CellColumn"/>
              <w:jc w:val="left"/>
            </w:pPr>
            <w:r>
              <w:rPr>
                <w:rFonts w:cs="Times New Roman"/>
              </w:rPr>
              <w:t>Povezanost privatne mreže CARNET na komercijalni internet brzine od 4 Gb/s</w:t>
            </w:r>
          </w:p>
        </w:tc>
        <w:tc>
          <w:tcPr>
            <w:tcW w:w="918" w:type="dxa"/>
          </w:tcPr>
          <w:p w:rsidR="009520A9" w:rsidRDefault="00770482">
            <w:pPr>
              <w:jc w:val="center"/>
            </w:pPr>
            <w:r>
              <w:t>%</w:t>
            </w:r>
          </w:p>
        </w:tc>
        <w:tc>
          <w:tcPr>
            <w:tcW w:w="918" w:type="dxa"/>
          </w:tcPr>
          <w:p w:rsidR="009520A9" w:rsidRDefault="00770482">
            <w:pPr>
              <w:jc w:val="center"/>
            </w:pPr>
            <w:r>
              <w:t>100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100</w:t>
            </w:r>
          </w:p>
        </w:tc>
        <w:tc>
          <w:tcPr>
            <w:tcW w:w="918" w:type="dxa"/>
          </w:tcPr>
          <w:p w:rsidR="009520A9" w:rsidRDefault="00770482">
            <w:pPr>
              <w:jc w:val="center"/>
            </w:pPr>
            <w:r>
              <w:t>100</w:t>
            </w:r>
          </w:p>
        </w:tc>
        <w:tc>
          <w:tcPr>
            <w:tcW w:w="918" w:type="dxa"/>
          </w:tcPr>
          <w:p w:rsidR="009520A9" w:rsidRDefault="00770482">
            <w:pPr>
              <w:jc w:val="center"/>
            </w:pPr>
            <w:r>
              <w:t>100</w:t>
            </w:r>
          </w:p>
        </w:tc>
      </w:tr>
    </w:tbl>
    <w:p w:rsidR="009520A9" w:rsidRDefault="009520A9">
      <w:pPr>
        <w:jc w:val="left"/>
      </w:pPr>
    </w:p>
    <w:p w:rsidR="009520A9" w:rsidRDefault="00770482">
      <w:pPr>
        <w:pStyle w:val="Heading4"/>
      </w:pPr>
      <w:r>
        <w:t>A628068 SUDJELOVANJE NA IZGRADNJI, TESTIRANJU I RAZVOJU OKOSNICE PAN-EUROPSKE RAČUNALNO KOMUNIKACIJSKE MREŽE</w:t>
      </w:r>
    </w:p>
    <w:p w:rsidR="009520A9" w:rsidRDefault="00770482">
      <w:pPr>
        <w:pStyle w:val="Heading8"/>
        <w:jc w:val="left"/>
      </w:pPr>
      <w:r>
        <w:t>Zakonske i druge pravne osnove</w:t>
      </w:r>
    </w:p>
    <w:p w:rsidR="009520A9" w:rsidRDefault="00770482">
      <w:r>
        <w:t>•</w:t>
      </w:r>
      <w:r>
        <w:tab/>
        <w:t>Odobrenje Ministarstva obrazovanja i sporta za pristupanje međunarodnom projektu GÉANT2020 (Klasa:650-01/15-01/00020;Ur.br:533-01-15-0002)</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A628068</w:t>
            </w:r>
          </w:p>
        </w:tc>
        <w:tc>
          <w:tcPr>
            <w:tcW w:w="1632" w:type="dxa"/>
            <w:vAlign w:val="top"/>
          </w:tcPr>
          <w:p w:rsidR="009520A9" w:rsidRDefault="00770482">
            <w:pPr>
              <w:jc w:val="right"/>
            </w:pPr>
            <w:r>
              <w:t>328.365</w:t>
            </w:r>
          </w:p>
        </w:tc>
        <w:tc>
          <w:tcPr>
            <w:tcW w:w="1632" w:type="dxa"/>
            <w:vAlign w:val="top"/>
          </w:tcPr>
          <w:p w:rsidR="009520A9" w:rsidRDefault="00770482">
            <w:pPr>
              <w:jc w:val="right"/>
            </w:pPr>
            <w:r>
              <w:t>346.</w:t>
            </w:r>
            <w:r>
              <w:t>714</w:t>
            </w:r>
          </w:p>
        </w:tc>
        <w:tc>
          <w:tcPr>
            <w:tcW w:w="1632" w:type="dxa"/>
            <w:vAlign w:val="top"/>
          </w:tcPr>
          <w:p w:rsidR="009520A9" w:rsidRDefault="00770482">
            <w:pPr>
              <w:jc w:val="right"/>
            </w:pPr>
            <w:r>
              <w:t>264.920</w:t>
            </w:r>
          </w:p>
        </w:tc>
        <w:tc>
          <w:tcPr>
            <w:tcW w:w="1632" w:type="dxa"/>
            <w:vAlign w:val="top"/>
          </w:tcPr>
          <w:p w:rsidR="009520A9" w:rsidRDefault="00770482">
            <w:pPr>
              <w:jc w:val="right"/>
            </w:pPr>
            <w:r>
              <w:t>168.290</w:t>
            </w:r>
          </w:p>
        </w:tc>
        <w:tc>
          <w:tcPr>
            <w:tcW w:w="1632" w:type="dxa"/>
            <w:vAlign w:val="top"/>
          </w:tcPr>
          <w:p w:rsidR="009520A9" w:rsidRDefault="00770482">
            <w:pPr>
              <w:jc w:val="right"/>
            </w:pPr>
            <w:r>
              <w:t>157.300</w:t>
            </w:r>
          </w:p>
        </w:tc>
        <w:tc>
          <w:tcPr>
            <w:tcW w:w="510" w:type="dxa"/>
            <w:vAlign w:val="top"/>
          </w:tcPr>
          <w:p w:rsidR="009520A9" w:rsidRDefault="00770482">
            <w:pPr>
              <w:jc w:val="right"/>
            </w:pPr>
            <w:r>
              <w:t>76,4</w:t>
            </w:r>
          </w:p>
        </w:tc>
      </w:tr>
    </w:tbl>
    <w:p w:rsidR="009520A9" w:rsidRDefault="009520A9">
      <w:pPr>
        <w:jc w:val="left"/>
      </w:pPr>
    </w:p>
    <w:p w:rsidR="009520A9" w:rsidRDefault="00770482">
      <w:r>
        <w:t>U okviru ove aktivnosti financira se CARNET-ovo sudjelovanje na projektu GÉANT5-1 kao nastavak GÉANT 4-3 projekta koji je započeo u siječnju 2019. godine. U projektu GÉANT5-1, koji traje od 1.1.2023. godine do 31.12.2024. godine, uz 37 europskih akademskih</w:t>
      </w:r>
      <w:r>
        <w:t xml:space="preserve"> i istraživačkih mreža (National Research and Education Network, NREN) te NORDUNet (predstavnik 5 nordijskih NREN-ova), GÉANT kao koordinatora, u svojstvu partnera sudjeluje i Hrvatska akademska i istraživačka mreža – CARNET, te se kroz projekt financira l</w:t>
      </w:r>
      <w:r>
        <w:t>judski rad djelatnika CARNET-a, te angažman djelatnika Srca na projektu.</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29"/>
        <w:gridCol w:w="2225"/>
        <w:gridCol w:w="916"/>
        <w:gridCol w:w="918"/>
        <w:gridCol w:w="1164"/>
        <w:gridCol w:w="918"/>
        <w:gridCol w:w="918"/>
        <w:gridCol w:w="918"/>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eduroam nacionalnih i međunarodnih autentikacija</w:t>
            </w:r>
          </w:p>
        </w:tc>
        <w:tc>
          <w:tcPr>
            <w:tcW w:w="2245" w:type="dxa"/>
            <w:vAlign w:val="top"/>
          </w:tcPr>
          <w:p w:rsidR="009520A9" w:rsidRDefault="00770482">
            <w:pPr>
              <w:pStyle w:val="CellColumn"/>
              <w:jc w:val="left"/>
            </w:pPr>
            <w:r>
              <w:rPr>
                <w:rFonts w:cs="Times New Roman"/>
              </w:rPr>
              <w:t>CARNET-ovi djelatnici i partneri razvijaju eduroam</w:t>
            </w:r>
          </w:p>
        </w:tc>
        <w:tc>
          <w:tcPr>
            <w:tcW w:w="918" w:type="dxa"/>
          </w:tcPr>
          <w:p w:rsidR="009520A9" w:rsidRDefault="00770482">
            <w:pPr>
              <w:jc w:val="center"/>
            </w:pPr>
            <w:r>
              <w:t>broj</w:t>
            </w:r>
          </w:p>
        </w:tc>
        <w:tc>
          <w:tcPr>
            <w:tcW w:w="918" w:type="dxa"/>
          </w:tcPr>
          <w:p w:rsidR="009520A9" w:rsidRDefault="00770482">
            <w:pPr>
              <w:jc w:val="center"/>
            </w:pPr>
            <w:r>
              <w:t>6.4 milijarde</w:t>
            </w:r>
          </w:p>
        </w:tc>
        <w:tc>
          <w:tcPr>
            <w:tcW w:w="918" w:type="dxa"/>
          </w:tcPr>
          <w:p w:rsidR="009520A9" w:rsidRDefault="00770482">
            <w:pPr>
              <w:pStyle w:val="CellColumn"/>
              <w:jc w:val="center"/>
            </w:pPr>
            <w:r>
              <w:rPr>
                <w:rFonts w:cs="Times New Roman"/>
              </w:rPr>
              <w:t>Eduroam.org</w:t>
            </w:r>
          </w:p>
        </w:tc>
        <w:tc>
          <w:tcPr>
            <w:tcW w:w="918" w:type="dxa"/>
          </w:tcPr>
          <w:p w:rsidR="009520A9" w:rsidRDefault="00770482">
            <w:pPr>
              <w:jc w:val="center"/>
            </w:pPr>
            <w:r>
              <w:t>7 milijardi</w:t>
            </w:r>
          </w:p>
        </w:tc>
        <w:tc>
          <w:tcPr>
            <w:tcW w:w="918" w:type="dxa"/>
          </w:tcPr>
          <w:p w:rsidR="009520A9" w:rsidRDefault="00770482">
            <w:pPr>
              <w:jc w:val="center"/>
            </w:pPr>
            <w:r>
              <w:t>7,5 milijardi</w:t>
            </w:r>
          </w:p>
        </w:tc>
        <w:tc>
          <w:tcPr>
            <w:tcW w:w="918" w:type="dxa"/>
          </w:tcPr>
          <w:p w:rsidR="009520A9" w:rsidRDefault="00770482">
            <w:pPr>
              <w:jc w:val="center"/>
            </w:pPr>
            <w:r>
              <w:t>8 milijardi</w:t>
            </w:r>
          </w:p>
        </w:tc>
      </w:tr>
      <w:tr w:rsidR="009520A9">
        <w:trPr>
          <w:jc w:val="center"/>
        </w:trPr>
        <w:tc>
          <w:tcPr>
            <w:tcW w:w="2245" w:type="dxa"/>
            <w:vAlign w:val="top"/>
          </w:tcPr>
          <w:p w:rsidR="009520A9" w:rsidRDefault="00770482">
            <w:pPr>
              <w:pStyle w:val="CellColumn"/>
              <w:jc w:val="left"/>
            </w:pPr>
            <w:r>
              <w:rPr>
                <w:rFonts w:cs="Times New Roman"/>
              </w:rPr>
              <w:t>Broj država i teritorija u eduroamu</w:t>
            </w:r>
          </w:p>
        </w:tc>
        <w:tc>
          <w:tcPr>
            <w:tcW w:w="2245" w:type="dxa"/>
            <w:vAlign w:val="top"/>
          </w:tcPr>
          <w:p w:rsidR="009520A9" w:rsidRDefault="00770482">
            <w:pPr>
              <w:pStyle w:val="CellColumn"/>
              <w:jc w:val="left"/>
            </w:pPr>
            <w:r>
              <w:rPr>
                <w:rFonts w:cs="Times New Roman"/>
              </w:rPr>
              <w:t>CARNET-ovi djelatnici i partneri razvijaju eduroam</w:t>
            </w:r>
          </w:p>
        </w:tc>
        <w:tc>
          <w:tcPr>
            <w:tcW w:w="918" w:type="dxa"/>
          </w:tcPr>
          <w:p w:rsidR="009520A9" w:rsidRDefault="00770482">
            <w:pPr>
              <w:jc w:val="center"/>
            </w:pPr>
            <w:r>
              <w:t>broj</w:t>
            </w:r>
          </w:p>
        </w:tc>
        <w:tc>
          <w:tcPr>
            <w:tcW w:w="918" w:type="dxa"/>
          </w:tcPr>
          <w:p w:rsidR="009520A9" w:rsidRDefault="00770482">
            <w:pPr>
              <w:jc w:val="center"/>
            </w:pPr>
            <w:r>
              <w:t>106</w:t>
            </w:r>
          </w:p>
        </w:tc>
        <w:tc>
          <w:tcPr>
            <w:tcW w:w="918" w:type="dxa"/>
          </w:tcPr>
          <w:p w:rsidR="009520A9" w:rsidRDefault="00770482">
            <w:pPr>
              <w:pStyle w:val="CellColumn"/>
              <w:jc w:val="center"/>
            </w:pPr>
            <w:r>
              <w:rPr>
                <w:rFonts w:cs="Times New Roman"/>
              </w:rPr>
              <w:t>Eduroam.org</w:t>
            </w:r>
          </w:p>
        </w:tc>
        <w:tc>
          <w:tcPr>
            <w:tcW w:w="918" w:type="dxa"/>
          </w:tcPr>
          <w:p w:rsidR="009520A9" w:rsidRDefault="00770482">
            <w:pPr>
              <w:jc w:val="center"/>
            </w:pPr>
            <w:r>
              <w:t>107</w:t>
            </w:r>
          </w:p>
        </w:tc>
        <w:tc>
          <w:tcPr>
            <w:tcW w:w="918" w:type="dxa"/>
          </w:tcPr>
          <w:p w:rsidR="009520A9" w:rsidRDefault="00770482">
            <w:pPr>
              <w:jc w:val="center"/>
            </w:pPr>
            <w:r>
              <w:t>108</w:t>
            </w:r>
          </w:p>
        </w:tc>
        <w:tc>
          <w:tcPr>
            <w:tcW w:w="918" w:type="dxa"/>
          </w:tcPr>
          <w:p w:rsidR="009520A9" w:rsidRDefault="00770482">
            <w:pPr>
              <w:jc w:val="center"/>
            </w:pPr>
            <w:r>
              <w:t>109</w:t>
            </w:r>
          </w:p>
        </w:tc>
      </w:tr>
      <w:tr w:rsidR="009520A9">
        <w:trPr>
          <w:jc w:val="center"/>
        </w:trPr>
        <w:tc>
          <w:tcPr>
            <w:tcW w:w="2245" w:type="dxa"/>
            <w:vAlign w:val="top"/>
          </w:tcPr>
          <w:p w:rsidR="009520A9" w:rsidRDefault="00770482">
            <w:pPr>
              <w:pStyle w:val="CellColumn"/>
              <w:jc w:val="left"/>
            </w:pPr>
            <w:r>
              <w:rPr>
                <w:rFonts w:cs="Times New Roman"/>
              </w:rPr>
              <w:t>Broj GEANT razvijenih i održavanih usluga</w:t>
            </w:r>
          </w:p>
        </w:tc>
        <w:tc>
          <w:tcPr>
            <w:tcW w:w="2245" w:type="dxa"/>
            <w:vAlign w:val="top"/>
          </w:tcPr>
          <w:p w:rsidR="009520A9" w:rsidRDefault="00770482">
            <w:pPr>
              <w:pStyle w:val="CellColumn"/>
              <w:jc w:val="left"/>
            </w:pPr>
            <w:r>
              <w:rPr>
                <w:rFonts w:cs="Times New Roman"/>
              </w:rPr>
              <w:t>CARNET-ovi djelatnici i partneri razvijaju eduroam</w:t>
            </w:r>
          </w:p>
        </w:tc>
        <w:tc>
          <w:tcPr>
            <w:tcW w:w="918" w:type="dxa"/>
          </w:tcPr>
          <w:p w:rsidR="009520A9" w:rsidRDefault="00770482">
            <w:pPr>
              <w:jc w:val="center"/>
            </w:pPr>
            <w:r>
              <w:t>broj</w:t>
            </w:r>
          </w:p>
        </w:tc>
        <w:tc>
          <w:tcPr>
            <w:tcW w:w="918" w:type="dxa"/>
          </w:tcPr>
          <w:p w:rsidR="009520A9" w:rsidRDefault="00770482">
            <w:pPr>
              <w:jc w:val="center"/>
            </w:pPr>
            <w:r>
              <w:t>19</w:t>
            </w:r>
          </w:p>
        </w:tc>
        <w:tc>
          <w:tcPr>
            <w:tcW w:w="918" w:type="dxa"/>
          </w:tcPr>
          <w:p w:rsidR="009520A9" w:rsidRDefault="00770482">
            <w:pPr>
              <w:pStyle w:val="CellColumn"/>
              <w:jc w:val="center"/>
            </w:pPr>
            <w:r>
              <w:rPr>
                <w:rFonts w:cs="Times New Roman"/>
              </w:rPr>
              <w:t>Geant.org</w:t>
            </w:r>
          </w:p>
        </w:tc>
        <w:tc>
          <w:tcPr>
            <w:tcW w:w="918" w:type="dxa"/>
          </w:tcPr>
          <w:p w:rsidR="009520A9" w:rsidRDefault="00770482">
            <w:pPr>
              <w:jc w:val="center"/>
            </w:pPr>
            <w:r>
              <w:t>19</w:t>
            </w:r>
          </w:p>
        </w:tc>
        <w:tc>
          <w:tcPr>
            <w:tcW w:w="918" w:type="dxa"/>
          </w:tcPr>
          <w:p w:rsidR="009520A9" w:rsidRDefault="00770482">
            <w:pPr>
              <w:jc w:val="center"/>
            </w:pPr>
            <w:r>
              <w:t>19</w:t>
            </w:r>
          </w:p>
        </w:tc>
        <w:tc>
          <w:tcPr>
            <w:tcW w:w="918" w:type="dxa"/>
          </w:tcPr>
          <w:p w:rsidR="009520A9" w:rsidRDefault="00770482">
            <w:pPr>
              <w:jc w:val="center"/>
            </w:pPr>
            <w:r>
              <w:t>20</w:t>
            </w:r>
          </w:p>
        </w:tc>
      </w:tr>
    </w:tbl>
    <w:p w:rsidR="009520A9" w:rsidRDefault="009520A9">
      <w:pPr>
        <w:jc w:val="left"/>
      </w:pPr>
    </w:p>
    <w:p w:rsidR="009520A9" w:rsidRDefault="00770482">
      <w:pPr>
        <w:pStyle w:val="Heading4"/>
      </w:pPr>
      <w:r>
        <w:t>A628070 PROGRAM OBJEDINJAVANJA I ODRŽAVANJA NACIONALNIH INFORMACIJSKIH SERVISA I E-ŠKOLA</w:t>
      </w:r>
    </w:p>
    <w:p w:rsidR="009520A9" w:rsidRDefault="00770482">
      <w:pPr>
        <w:pStyle w:val="Heading8"/>
        <w:jc w:val="left"/>
      </w:pPr>
      <w:r>
        <w:t>Zakonske i druge pravne osnove</w:t>
      </w:r>
    </w:p>
    <w:p w:rsidR="009520A9" w:rsidRDefault="00770482">
      <w:r>
        <w:t>•</w:t>
      </w:r>
      <w:r>
        <w:tab/>
        <w:t>Odluka Ministarstva, znanosti, obrazovanja i sporta o uspostavi i radu Centara potpore Integriranom informacijskom sustavu za upravlja</w:t>
      </w:r>
      <w:r>
        <w:t>nje standardiziranim skupovima podataka u obrazovanju eMatica u CARNET-u.</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A628070</w:t>
            </w:r>
          </w:p>
        </w:tc>
        <w:tc>
          <w:tcPr>
            <w:tcW w:w="1632" w:type="dxa"/>
            <w:vAlign w:val="top"/>
          </w:tcPr>
          <w:p w:rsidR="009520A9" w:rsidRDefault="00770482">
            <w:pPr>
              <w:jc w:val="right"/>
            </w:pPr>
            <w:r>
              <w:t>663.903</w:t>
            </w:r>
          </w:p>
        </w:tc>
        <w:tc>
          <w:tcPr>
            <w:tcW w:w="1632" w:type="dxa"/>
            <w:vAlign w:val="top"/>
          </w:tcPr>
          <w:p w:rsidR="009520A9" w:rsidRDefault="00770482">
            <w:pPr>
              <w:jc w:val="right"/>
            </w:pPr>
            <w:r>
              <w:t>882.258</w:t>
            </w:r>
          </w:p>
        </w:tc>
        <w:tc>
          <w:tcPr>
            <w:tcW w:w="1632" w:type="dxa"/>
            <w:vAlign w:val="top"/>
          </w:tcPr>
          <w:p w:rsidR="009520A9" w:rsidRDefault="00770482">
            <w:pPr>
              <w:jc w:val="right"/>
            </w:pPr>
            <w:r>
              <w:t>1.309.620</w:t>
            </w:r>
          </w:p>
        </w:tc>
        <w:tc>
          <w:tcPr>
            <w:tcW w:w="1632" w:type="dxa"/>
            <w:vAlign w:val="top"/>
          </w:tcPr>
          <w:p w:rsidR="009520A9" w:rsidRDefault="00770482">
            <w:pPr>
              <w:jc w:val="right"/>
            </w:pPr>
            <w:r>
              <w:t>1.309.620</w:t>
            </w:r>
          </w:p>
        </w:tc>
        <w:tc>
          <w:tcPr>
            <w:tcW w:w="1632" w:type="dxa"/>
            <w:vAlign w:val="top"/>
          </w:tcPr>
          <w:p w:rsidR="009520A9" w:rsidRDefault="00770482">
            <w:pPr>
              <w:jc w:val="right"/>
            </w:pPr>
            <w:r>
              <w:t>1.309.620</w:t>
            </w:r>
          </w:p>
        </w:tc>
        <w:tc>
          <w:tcPr>
            <w:tcW w:w="510" w:type="dxa"/>
            <w:vAlign w:val="top"/>
          </w:tcPr>
          <w:p w:rsidR="009520A9" w:rsidRDefault="00770482">
            <w:pPr>
              <w:jc w:val="right"/>
            </w:pPr>
            <w:r>
              <w:t>148,4</w:t>
            </w:r>
          </w:p>
        </w:tc>
      </w:tr>
    </w:tbl>
    <w:p w:rsidR="009520A9" w:rsidRDefault="009520A9">
      <w:pPr>
        <w:jc w:val="left"/>
      </w:pPr>
    </w:p>
    <w:p w:rsidR="009520A9" w:rsidRDefault="00770482">
      <w:r>
        <w:t>Ovom aktivnosti obuhvaćeno je održavanje sljedećih sustava: Hosting usluge za srednje i osnovne škole (HUSO), sustava za upravljanje učenjem Loomen, Nacionalnog portala za udaljeno učenje "Nikola Tesla", portala e-Lektire, e-Dnevnika, e-Matice, CARNET info</w:t>
      </w:r>
      <w:r>
        <w:t>, CARNET sigma i MDM.  U okviru Hosting usluge za srednje i osnovne škole, školama je omogućen jedinstven imenik za kreiranje AAI@EduHr elektroničkih identiteta za učenike, nastavnike i zaposlenike škola, koji su preduvjet za korištenje CARNET-ovih usluga.</w:t>
      </w:r>
      <w:r>
        <w:t xml:space="preserve"> Trenutno se u ovom imeniku nalazi oko 600.000 AAI@EduHr elektroničkih identiteta i jedinstvenih adresa elektroničke pošte.  </w:t>
      </w:r>
    </w:p>
    <w:p w:rsidR="009520A9" w:rsidRDefault="00770482">
      <w:r>
        <w:t>Putem Hosting usluge škole dobivaju i mogućnost smještaja vlastitog mrežnog sjedišta kao i mogućnost korištenja  sustava za jednos</w:t>
      </w:r>
      <w:r>
        <w:t>tavnu izradu sadržaja svojeg sjedišta (Content Management). Sustav za upravljanje učenjem Loomen platforma je temeljena na sustavu Moodle, na kojoj nastavnici i profesori mogu izraditi i pohraniti svoje online tečajeve te izvoditi online nastavu. Uz tečaje</w:t>
      </w:r>
      <w:r>
        <w:t>ve koje koriste pojedine obrazovne institucije za potrebe svoje nastave, sustav Loomen uključuje niz usluga uključujući Otvorene tečajeve te Nacionalni portal za udaljeno učenje "Nikola Tesla". Nacionalni portal za udaljeno učenje “Nikola Tesla” je usposta</w:t>
      </w:r>
      <w:r>
        <w:t>vljen kao repozitorij za pohranu obrazovnih sadržaja kao što su digitalni obrazovni sadržaje za gradivo predmeta srednjih i osnovnih škola, e-Tečajevi za primjenu u nastavi, ECDL tečajevi te CARNET-ovi tečajevi za samostalno učenje. Portal e-Lektire portal</w:t>
      </w:r>
      <w:r>
        <w:t xml:space="preserve"> je putem kojeg učenici i nastavnici imaju besplatni pristup digitalnim izdanjima lektirnih naslova.  </w:t>
      </w:r>
    </w:p>
    <w:p w:rsidR="009520A9" w:rsidRDefault="00770482">
      <w:r>
        <w:t>e-Dnevnik (web aplikacija za vođenje razredne evidencije u digitalnom obliku) u školskoj godini 2022./2023. koristi 98% škola u RH. Ovom aplikacijom se o</w:t>
      </w:r>
      <w:r>
        <w:t xml:space="preserve">siguravaju sve funkcionalnosti postojeće razredne knjige uz niz dodatnih funkcionalnosti koje omogućava uporaba informacijsko-komunikacijskih tehnologija. </w:t>
      </w:r>
    </w:p>
    <w:p w:rsidR="009520A9" w:rsidRDefault="00770482">
      <w:r>
        <w:t>Kroz ovu aktivnost planira se održavanje sustava e-Matice u iznosu od 30.150,00 EUR. Održavanje post</w:t>
      </w:r>
      <w:r>
        <w:t xml:space="preserve">ojećeg e-Matica sustava nužno je dok ne nastupe svi preduvjeti za prelazak na novi sustav koji je razvijen u okviru projekta Informatiza cija procesa i uspostava cjelovite elektroničke usluge upisa u odgojne i obrazovne ustanove.  </w:t>
      </w:r>
    </w:p>
    <w:p w:rsidR="009520A9" w:rsidRDefault="00770482">
      <w:r>
        <w:t xml:space="preserve"> </w:t>
      </w:r>
    </w:p>
    <w:p w:rsidR="009520A9" w:rsidRDefault="00770482">
      <w:r>
        <w:t>CARNET info je self-ca</w:t>
      </w:r>
      <w:r>
        <w:t>re portal koji korisnicima omogućava uvid u podatke o CARNET-ovim uslugama, aplikacijama i projektnim aktivnostima korištenjem različitih baza i izvora podataka kao i izvještajima iz povezanih sustava. Za učinkovitost rada sustava i valjanost svih funkcion</w:t>
      </w:r>
      <w:r>
        <w:t xml:space="preserve">alnosti nužno je redovito održavanje sustava. </w:t>
      </w:r>
    </w:p>
    <w:p w:rsidR="009520A9" w:rsidRDefault="00770482">
      <w:r>
        <w:t xml:space="preserve">Kroz ovu aktivnost planira se održavanje sustava CARNET info u iznosu od 102.500,00. EUR. </w:t>
      </w:r>
    </w:p>
    <w:p w:rsidR="009520A9" w:rsidRDefault="00770482">
      <w:r>
        <w:t xml:space="preserve">Sustav za informatizaciju poslovanja ustanove CARNET sigma je centralizirani, jedinstveni i standardizirani sustav za </w:t>
      </w:r>
      <w:r>
        <w:t>informatizaciju poslovanja i praćenja poslovnih procesa u školama. Baziran je na proračunskome računovodstvu i poslovanju korisnika državnoga proračuna te treba biti integriran s postojećom imeničkom infrastrukturom, a po potrebi i s ostalim uslugama kojim</w:t>
      </w:r>
      <w:r>
        <w:t>a se škole koriste. Usluga je namijenjena svim školama u Republici Hrvatskoj. Za učinkovitost rada sustava i valjanost svih funkcionalnosti nužno je redovito održavanje sustava. Budući da se poslovanjem i praćenjem poslovnih procesa upravlja putem ovog sus</w:t>
      </w:r>
      <w:r>
        <w:t xml:space="preserve">tava nužno je osigurati njegovo održavanje. </w:t>
      </w:r>
    </w:p>
    <w:p w:rsidR="009520A9" w:rsidRDefault="00770482">
      <w:r>
        <w:t xml:space="preserve">Kroz ovu aktivnost planira se održavanje sustava CARNET sigma u iznosu od 78.125,00. EUR. </w:t>
      </w:r>
    </w:p>
    <w:p w:rsidR="009520A9" w:rsidRDefault="00770482">
      <w:r>
        <w:t xml:space="preserve">Mobile Device Management (MDM) sustav koristi se za centralizirano upravljanje i nadzor  uređaja. Sustav upravlja radom </w:t>
      </w:r>
      <w:r>
        <w:t>svih tableta koje su učenici zaprimili u školi te uz jednostavnu administraciju služi i za zaštitu učenika i njihovih prava. Održavanje sustava je nužno kako bi sustav nastavio neometano funkcionirati. Održavanje podrazumijeva Preventivne provjere sustava,</w:t>
      </w:r>
      <w:r>
        <w:t xml:space="preserve"> čišćenje baze, podršku, rješavanje ticketa itd. </w:t>
      </w:r>
    </w:p>
    <w:p w:rsidR="009520A9" w:rsidRDefault="00770482">
      <w:r>
        <w:t>Kroz ovu aktivnost planira se održavanje sustava MDM u iznosu od 187.500,00 EUR.</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korisnika sustava Loomen</w:t>
            </w:r>
          </w:p>
        </w:tc>
        <w:tc>
          <w:tcPr>
            <w:tcW w:w="2245" w:type="dxa"/>
            <w:vAlign w:val="top"/>
          </w:tcPr>
          <w:p w:rsidR="009520A9" w:rsidRDefault="00770482">
            <w:pPr>
              <w:pStyle w:val="CellColumn"/>
              <w:jc w:val="left"/>
            </w:pPr>
            <w:r>
              <w:rPr>
                <w:rFonts w:cs="Times New Roman"/>
              </w:rPr>
              <w:t>Broj korisnika sustava</w:t>
            </w:r>
          </w:p>
        </w:tc>
        <w:tc>
          <w:tcPr>
            <w:tcW w:w="918" w:type="dxa"/>
          </w:tcPr>
          <w:p w:rsidR="009520A9" w:rsidRDefault="00770482">
            <w:pPr>
              <w:jc w:val="center"/>
            </w:pPr>
            <w:r>
              <w:t>Broj</w:t>
            </w:r>
          </w:p>
        </w:tc>
        <w:tc>
          <w:tcPr>
            <w:tcW w:w="918" w:type="dxa"/>
          </w:tcPr>
          <w:p w:rsidR="009520A9" w:rsidRDefault="00770482">
            <w:pPr>
              <w:jc w:val="center"/>
            </w:pPr>
            <w:r>
              <w:t>40000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41000</w:t>
            </w:r>
          </w:p>
        </w:tc>
        <w:tc>
          <w:tcPr>
            <w:tcW w:w="918" w:type="dxa"/>
          </w:tcPr>
          <w:p w:rsidR="009520A9" w:rsidRDefault="00770482">
            <w:pPr>
              <w:jc w:val="center"/>
            </w:pPr>
            <w:r>
              <w:t>42000</w:t>
            </w:r>
          </w:p>
        </w:tc>
        <w:tc>
          <w:tcPr>
            <w:tcW w:w="918" w:type="dxa"/>
          </w:tcPr>
          <w:p w:rsidR="009520A9" w:rsidRDefault="00770482">
            <w:pPr>
              <w:jc w:val="center"/>
            </w:pPr>
            <w:r>
              <w:t>43000</w:t>
            </w:r>
          </w:p>
        </w:tc>
      </w:tr>
      <w:tr w:rsidR="009520A9">
        <w:trPr>
          <w:jc w:val="center"/>
        </w:trPr>
        <w:tc>
          <w:tcPr>
            <w:tcW w:w="2245" w:type="dxa"/>
            <w:vAlign w:val="top"/>
          </w:tcPr>
          <w:p w:rsidR="009520A9" w:rsidRDefault="00770482">
            <w:pPr>
              <w:pStyle w:val="CellColumn"/>
              <w:jc w:val="left"/>
            </w:pPr>
            <w:r>
              <w:rPr>
                <w:rFonts w:cs="Times New Roman"/>
              </w:rPr>
              <w:t>Broj prijavljeniih edukacija u EMA-i</w:t>
            </w:r>
          </w:p>
        </w:tc>
        <w:tc>
          <w:tcPr>
            <w:tcW w:w="2245" w:type="dxa"/>
            <w:vAlign w:val="top"/>
          </w:tcPr>
          <w:p w:rsidR="009520A9" w:rsidRDefault="00770482">
            <w:pPr>
              <w:pStyle w:val="CellColumn"/>
              <w:jc w:val="left"/>
            </w:pPr>
            <w:r>
              <w:rPr>
                <w:rFonts w:cs="Times New Roman"/>
              </w:rPr>
              <w:t>Broj prijavljenih edukacija</w:t>
            </w:r>
          </w:p>
        </w:tc>
        <w:tc>
          <w:tcPr>
            <w:tcW w:w="918" w:type="dxa"/>
          </w:tcPr>
          <w:p w:rsidR="009520A9" w:rsidRDefault="00770482">
            <w:pPr>
              <w:jc w:val="center"/>
            </w:pPr>
            <w:r>
              <w:t>broj</w:t>
            </w:r>
          </w:p>
        </w:tc>
        <w:tc>
          <w:tcPr>
            <w:tcW w:w="918" w:type="dxa"/>
          </w:tcPr>
          <w:p w:rsidR="009520A9" w:rsidRDefault="00770482">
            <w:pPr>
              <w:jc w:val="center"/>
            </w:pPr>
            <w:r>
              <w:t>2159</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2759</w:t>
            </w:r>
          </w:p>
        </w:tc>
        <w:tc>
          <w:tcPr>
            <w:tcW w:w="918" w:type="dxa"/>
          </w:tcPr>
          <w:p w:rsidR="009520A9" w:rsidRDefault="00770482">
            <w:pPr>
              <w:jc w:val="center"/>
            </w:pPr>
            <w:r>
              <w:t>2859</w:t>
            </w:r>
          </w:p>
        </w:tc>
        <w:tc>
          <w:tcPr>
            <w:tcW w:w="918" w:type="dxa"/>
          </w:tcPr>
          <w:p w:rsidR="009520A9" w:rsidRDefault="00770482">
            <w:pPr>
              <w:jc w:val="center"/>
            </w:pPr>
            <w:r>
              <w:t>3000</w:t>
            </w:r>
          </w:p>
        </w:tc>
      </w:tr>
      <w:tr w:rsidR="009520A9">
        <w:trPr>
          <w:jc w:val="center"/>
        </w:trPr>
        <w:tc>
          <w:tcPr>
            <w:tcW w:w="2245" w:type="dxa"/>
            <w:vAlign w:val="top"/>
          </w:tcPr>
          <w:p w:rsidR="009520A9" w:rsidRDefault="00770482">
            <w:pPr>
              <w:pStyle w:val="CellColumn"/>
              <w:jc w:val="left"/>
            </w:pPr>
            <w:r>
              <w:rPr>
                <w:rFonts w:cs="Times New Roman"/>
              </w:rPr>
              <w:t>Broj pristupa korisnika Edutorija</w:t>
            </w:r>
          </w:p>
        </w:tc>
        <w:tc>
          <w:tcPr>
            <w:tcW w:w="2245" w:type="dxa"/>
            <w:vAlign w:val="top"/>
          </w:tcPr>
          <w:p w:rsidR="009520A9" w:rsidRDefault="00770482">
            <w:pPr>
              <w:pStyle w:val="CellColumn"/>
              <w:jc w:val="left"/>
            </w:pPr>
            <w:r>
              <w:rPr>
                <w:rFonts w:cs="Times New Roman"/>
              </w:rPr>
              <w:t>Broj pristupa korisnika</w:t>
            </w:r>
          </w:p>
        </w:tc>
        <w:tc>
          <w:tcPr>
            <w:tcW w:w="918" w:type="dxa"/>
          </w:tcPr>
          <w:p w:rsidR="009520A9" w:rsidRDefault="00770482">
            <w:pPr>
              <w:jc w:val="center"/>
            </w:pPr>
            <w:r>
              <w:t>Broj</w:t>
            </w:r>
          </w:p>
        </w:tc>
        <w:tc>
          <w:tcPr>
            <w:tcW w:w="918" w:type="dxa"/>
          </w:tcPr>
          <w:p w:rsidR="009520A9" w:rsidRDefault="00770482">
            <w:pPr>
              <w:jc w:val="center"/>
            </w:pPr>
            <w:r>
              <w:t>47153</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50000</w:t>
            </w:r>
          </w:p>
        </w:tc>
        <w:tc>
          <w:tcPr>
            <w:tcW w:w="918" w:type="dxa"/>
          </w:tcPr>
          <w:p w:rsidR="009520A9" w:rsidRDefault="00770482">
            <w:pPr>
              <w:jc w:val="center"/>
            </w:pPr>
            <w:r>
              <w:t>52000</w:t>
            </w:r>
          </w:p>
        </w:tc>
        <w:tc>
          <w:tcPr>
            <w:tcW w:w="918" w:type="dxa"/>
          </w:tcPr>
          <w:p w:rsidR="009520A9" w:rsidRDefault="00770482">
            <w:pPr>
              <w:jc w:val="center"/>
            </w:pPr>
            <w:r>
              <w:t>54000</w:t>
            </w:r>
          </w:p>
        </w:tc>
      </w:tr>
      <w:tr w:rsidR="009520A9">
        <w:trPr>
          <w:jc w:val="center"/>
        </w:trPr>
        <w:tc>
          <w:tcPr>
            <w:tcW w:w="2245" w:type="dxa"/>
            <w:vAlign w:val="top"/>
          </w:tcPr>
          <w:p w:rsidR="009520A9" w:rsidRDefault="00770482">
            <w:pPr>
              <w:pStyle w:val="CellColumn"/>
              <w:jc w:val="left"/>
            </w:pPr>
            <w:r>
              <w:rPr>
                <w:rFonts w:cs="Times New Roman"/>
              </w:rPr>
              <w:t>Broj škola u e-Dnevnik sustavu</w:t>
            </w:r>
          </w:p>
        </w:tc>
        <w:tc>
          <w:tcPr>
            <w:tcW w:w="2245" w:type="dxa"/>
            <w:vAlign w:val="top"/>
          </w:tcPr>
          <w:p w:rsidR="009520A9" w:rsidRDefault="00770482">
            <w:pPr>
              <w:pStyle w:val="CellColumn"/>
              <w:jc w:val="left"/>
            </w:pPr>
            <w:r>
              <w:rPr>
                <w:rFonts w:cs="Times New Roman"/>
              </w:rPr>
              <w:t>Osigurati stabilan sustav vođenja razredne knjige u elektroničkom obliku</w:t>
            </w:r>
          </w:p>
        </w:tc>
        <w:tc>
          <w:tcPr>
            <w:tcW w:w="918" w:type="dxa"/>
          </w:tcPr>
          <w:p w:rsidR="009520A9" w:rsidRDefault="00770482">
            <w:pPr>
              <w:jc w:val="center"/>
            </w:pPr>
            <w:r>
              <w:t>Broj</w:t>
            </w:r>
          </w:p>
        </w:tc>
        <w:tc>
          <w:tcPr>
            <w:tcW w:w="918" w:type="dxa"/>
          </w:tcPr>
          <w:p w:rsidR="009520A9" w:rsidRDefault="00770482">
            <w:pPr>
              <w:jc w:val="center"/>
            </w:pPr>
            <w:r>
              <w:t>1364</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1370</w:t>
            </w:r>
          </w:p>
        </w:tc>
        <w:tc>
          <w:tcPr>
            <w:tcW w:w="918" w:type="dxa"/>
          </w:tcPr>
          <w:p w:rsidR="009520A9" w:rsidRDefault="00770482">
            <w:pPr>
              <w:jc w:val="center"/>
            </w:pPr>
            <w:r>
              <w:t>1372</w:t>
            </w:r>
          </w:p>
        </w:tc>
        <w:tc>
          <w:tcPr>
            <w:tcW w:w="918" w:type="dxa"/>
          </w:tcPr>
          <w:p w:rsidR="009520A9" w:rsidRDefault="00770482">
            <w:pPr>
              <w:jc w:val="center"/>
            </w:pPr>
            <w:r>
              <w:t>1374</w:t>
            </w:r>
          </w:p>
        </w:tc>
      </w:tr>
    </w:tbl>
    <w:p w:rsidR="009520A9" w:rsidRDefault="009520A9">
      <w:pPr>
        <w:jc w:val="left"/>
      </w:pPr>
    </w:p>
    <w:p w:rsidR="009520A9" w:rsidRDefault="00770482">
      <w:pPr>
        <w:pStyle w:val="Heading4"/>
      </w:pPr>
      <w:r>
        <w:t>A628074 PROGRAMI ZAJEDNICE</w:t>
      </w:r>
    </w:p>
    <w:p w:rsidR="009520A9" w:rsidRDefault="00770482">
      <w:pPr>
        <w:pStyle w:val="Heading8"/>
        <w:jc w:val="left"/>
      </w:pPr>
      <w:r>
        <w:t>Zakonske i druge pravne osnove</w:t>
      </w:r>
    </w:p>
    <w:p w:rsidR="009520A9" w:rsidRDefault="00770482">
      <w:r>
        <w:t>• Memorandum o razumijevanju između Europske Zajednice i Republike Hrvatske o sudjelovanju Republike Hrvatske u Programu podrške politikama za primjenu informacijskih i komunikacijskih tehnologija O</w:t>
      </w:r>
      <w:r>
        <w:t xml:space="preserve">kvirnog programa za konkurentnost i inovacije </w:t>
      </w:r>
    </w:p>
    <w:p w:rsidR="009520A9" w:rsidRDefault="00770482">
      <w:r>
        <w:t>• Agreement number INEA/CEF/ICT/A2017/1528866, Action Number 2017-EU-IA-0118</w:t>
      </w:r>
    </w:p>
    <w:tbl>
      <w:tblPr>
        <w:tblStyle w:val="StilTablice"/>
        <w:tblW w:w="10206" w:type="dxa"/>
        <w:jc w:val="center"/>
        <w:tblLook w:val="04A0" w:firstRow="1" w:lastRow="0" w:firstColumn="1" w:lastColumn="0" w:noHBand="0" w:noVBand="1"/>
      </w:tblPr>
      <w:tblGrid>
        <w:gridCol w:w="1477"/>
        <w:gridCol w:w="1567"/>
        <w:gridCol w:w="1552"/>
        <w:gridCol w:w="1552"/>
        <w:gridCol w:w="1544"/>
        <w:gridCol w:w="1544"/>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A628074</w:t>
            </w:r>
          </w:p>
        </w:tc>
        <w:tc>
          <w:tcPr>
            <w:tcW w:w="1632" w:type="dxa"/>
            <w:vAlign w:val="top"/>
          </w:tcPr>
          <w:p w:rsidR="009520A9" w:rsidRDefault="00770482">
            <w:pPr>
              <w:jc w:val="right"/>
            </w:pPr>
            <w:r>
              <w:t>8.132</w:t>
            </w:r>
          </w:p>
        </w:tc>
        <w:tc>
          <w:tcPr>
            <w:tcW w:w="1632" w:type="dxa"/>
            <w:vAlign w:val="top"/>
          </w:tcPr>
          <w:p w:rsidR="009520A9" w:rsidRDefault="00770482">
            <w:pPr>
              <w:jc w:val="right"/>
            </w:pPr>
            <w:r>
              <w:t>24.775</w:t>
            </w:r>
          </w:p>
        </w:tc>
        <w:tc>
          <w:tcPr>
            <w:tcW w:w="1632" w:type="dxa"/>
            <w:vAlign w:val="top"/>
          </w:tcPr>
          <w:p w:rsidR="009520A9" w:rsidRDefault="00770482">
            <w:pPr>
              <w:jc w:val="right"/>
            </w:pPr>
            <w:r>
              <w:t>14.900</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510" w:type="dxa"/>
            <w:vAlign w:val="top"/>
          </w:tcPr>
          <w:p w:rsidR="009520A9" w:rsidRDefault="00770482">
            <w:pPr>
              <w:jc w:val="right"/>
            </w:pPr>
            <w:r>
              <w:t>60,1</w:t>
            </w:r>
          </w:p>
        </w:tc>
      </w:tr>
    </w:tbl>
    <w:p w:rsidR="009520A9" w:rsidRDefault="009520A9">
      <w:pPr>
        <w:jc w:val="left"/>
      </w:pPr>
    </w:p>
    <w:p w:rsidR="009520A9" w:rsidRDefault="00770482">
      <w:r>
        <w:t xml:space="preserve">Projekt „CyberExchange“ sufinanciran programom Instrument za povezivanje Europe – Connecting Europe Facility (CEF) provodi se od 2018. godine u 10 zemalja EU čiji je nositelj udruženje CZ.NIC iz Češke. U projektu sudjeluje 11 partnerskih institucija iz 10 </w:t>
      </w:r>
      <w:r>
        <w:t xml:space="preserve">država članica Europske unije (Austrija, Hrvatska, Češka, Grčka, Latvija, Luksemburg, Malta, Poljska, Rumunjska i Slovačka)., Projektom se jačaju kapaciteti stručnjaka u području kibernetičke sigurnosti kako bi bolje odgovorili na sve učestalije prijetnje </w:t>
      </w:r>
      <w:r>
        <w:t>prekograničnoj suradnjom i osnaženim europskim timovima. Specifični ciljevi projekta su: povećanje znanja i sposobnosti pojedinih članova timova za sigurnost i olakšavanje suradnje kroz njihovo sudjelovanje u razmjeni osoblja u obliku kraćih studijskih pos</w:t>
      </w:r>
      <w:r>
        <w:t>jeta među uključenim nacionalnim i vladinim CSIRT / CERT, povećanje razine zrelosti pojedinih CSIRT / CERT-ova u odnosu na nove softverske alate. Projekt podržava i MeliCERTes platformu te Centre za sigurniji internet. Ukupne je vrijednosti 734.301 eura, d</w:t>
      </w:r>
      <w:r>
        <w:t>ok je vrijednost CARNET-ovog udjela 55.747 eura.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1888"/>
        <w:gridCol w:w="1965"/>
        <w:gridCol w:w="1059"/>
        <w:gridCol w:w="917"/>
        <w:gridCol w:w="1626"/>
        <w:gridCol w:w="917"/>
        <w:gridCol w:w="917"/>
        <w:gridCol w:w="91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Izrađen E-learning Roadmap</w:t>
            </w:r>
          </w:p>
        </w:tc>
        <w:tc>
          <w:tcPr>
            <w:tcW w:w="2245" w:type="dxa"/>
            <w:vAlign w:val="top"/>
          </w:tcPr>
          <w:p w:rsidR="009520A9" w:rsidRDefault="00770482">
            <w:pPr>
              <w:pStyle w:val="CellColumn"/>
              <w:jc w:val="left"/>
            </w:pPr>
            <w:r>
              <w:rPr>
                <w:rFonts w:cs="Times New Roman"/>
              </w:rPr>
              <w:t>E-learning Roadmap je strateški dokument na razini sveučilišta kojime se planira implementacija e-učenja</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Projektna dokumentacija</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zaposlenika koji su sudjelovali u programu razmjene – studijske posjete</w:t>
            </w:r>
          </w:p>
        </w:tc>
        <w:tc>
          <w:tcPr>
            <w:tcW w:w="2245" w:type="dxa"/>
            <w:vAlign w:val="top"/>
          </w:tcPr>
          <w:p w:rsidR="009520A9" w:rsidRDefault="00770482">
            <w:pPr>
              <w:pStyle w:val="CellColumn"/>
              <w:jc w:val="left"/>
            </w:pPr>
            <w:r>
              <w:rPr>
                <w:rFonts w:cs="Times New Roman"/>
              </w:rPr>
              <w:t>Zaposlenici sudjeluju u programu razmjene u obliku studijske posjete s ciljem razmjene iskustva i osnaživanja stručnih znanja</w:t>
            </w:r>
          </w:p>
        </w:tc>
        <w:tc>
          <w:tcPr>
            <w:tcW w:w="918" w:type="dxa"/>
          </w:tcPr>
          <w:p w:rsidR="009520A9" w:rsidRDefault="00770482">
            <w:pPr>
              <w:jc w:val="center"/>
            </w:pPr>
            <w:r>
              <w:t>Broj zaposlenika</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CARNET /NCERT</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tehničkih posjeta s ciljem promicanja i razmjene podataka o softverskim alatima</w:t>
            </w:r>
          </w:p>
        </w:tc>
        <w:tc>
          <w:tcPr>
            <w:tcW w:w="2245" w:type="dxa"/>
            <w:vAlign w:val="top"/>
          </w:tcPr>
          <w:p w:rsidR="009520A9" w:rsidRDefault="00770482">
            <w:pPr>
              <w:pStyle w:val="CellColumn"/>
              <w:jc w:val="left"/>
            </w:pPr>
            <w:r>
              <w:rPr>
                <w:rFonts w:cs="Times New Roman"/>
              </w:rPr>
              <w:t>Prove</w:t>
            </w:r>
            <w:r>
              <w:rPr>
                <w:rFonts w:cs="Times New Roman"/>
              </w:rPr>
              <w:t>dena je tehnička posjeta stručnjaka iz partnerske organizacije sciljem promicanja i razmjene podataka o softvreskim alatima</w:t>
            </w:r>
          </w:p>
        </w:tc>
        <w:tc>
          <w:tcPr>
            <w:tcW w:w="918" w:type="dxa"/>
          </w:tcPr>
          <w:p w:rsidR="009520A9" w:rsidRDefault="00770482">
            <w:pPr>
              <w:jc w:val="center"/>
            </w:pPr>
            <w:r>
              <w:t>Broj posjeta</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 /NCERT</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Provedba kibernetičke vježbe za stručnjake iz partnerskih zemalja korištenjem razvijenih alata n</w:t>
            </w:r>
            <w:r>
              <w:rPr>
                <w:rFonts w:cs="Times New Roman"/>
              </w:rPr>
              <w:t>a europskoj razini</w:t>
            </w:r>
          </w:p>
        </w:tc>
        <w:tc>
          <w:tcPr>
            <w:tcW w:w="2245" w:type="dxa"/>
            <w:vAlign w:val="top"/>
          </w:tcPr>
          <w:p w:rsidR="009520A9" w:rsidRDefault="00770482">
            <w:pPr>
              <w:pStyle w:val="CellColumn"/>
              <w:jc w:val="left"/>
            </w:pPr>
            <w:r>
              <w:rPr>
                <w:rFonts w:cs="Times New Roman"/>
              </w:rPr>
              <w:t>Provedena kibernetička vježba u Hrvatskoj za predstavnike partnerskih organizacija s ciljem provjere postignuća projekta</w:t>
            </w:r>
          </w:p>
        </w:tc>
        <w:tc>
          <w:tcPr>
            <w:tcW w:w="918" w:type="dxa"/>
          </w:tcPr>
          <w:p w:rsidR="009520A9" w:rsidRDefault="00770482">
            <w:pPr>
              <w:jc w:val="center"/>
            </w:pPr>
            <w:r>
              <w:t>Broj vježbi</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CARNET/NCERT</w:t>
            </w:r>
          </w:p>
        </w:tc>
        <w:tc>
          <w:tcPr>
            <w:tcW w:w="918" w:type="dxa"/>
          </w:tcPr>
          <w:p w:rsidR="009520A9" w:rsidRDefault="00770482">
            <w:pPr>
              <w:jc w:val="center"/>
            </w:pPr>
            <w:r>
              <w:t>0</w:t>
            </w:r>
          </w:p>
        </w:tc>
        <w:tc>
          <w:tcPr>
            <w:tcW w:w="918" w:type="dxa"/>
          </w:tcPr>
          <w:p w:rsidR="009520A9" w:rsidRDefault="00770482">
            <w:pPr>
              <w:jc w:val="center"/>
            </w:pPr>
            <w:r>
              <w:t>1</w:t>
            </w:r>
          </w:p>
        </w:tc>
        <w:tc>
          <w:tcPr>
            <w:tcW w:w="918" w:type="dxa"/>
          </w:tcPr>
          <w:p w:rsidR="009520A9" w:rsidRDefault="00770482">
            <w:pPr>
              <w:jc w:val="center"/>
            </w:pPr>
            <w:r>
              <w:t>0</w:t>
            </w:r>
          </w:p>
        </w:tc>
      </w:tr>
    </w:tbl>
    <w:p w:rsidR="009520A9" w:rsidRDefault="009520A9">
      <w:pPr>
        <w:jc w:val="left"/>
      </w:pPr>
    </w:p>
    <w:p w:rsidR="009520A9" w:rsidRDefault="00770482">
      <w:pPr>
        <w:pStyle w:val="Heading4"/>
      </w:pPr>
      <w:r>
        <w:t>A628090 UNAPRJEĐENJE JEDNAKIH MOGUĆNOSTI U OBRAZOVANJU ZA UČENIKE S TEŠKOĆAMA U RAZVOJU</w:t>
      </w:r>
    </w:p>
    <w:p w:rsidR="009520A9" w:rsidRDefault="00770482">
      <w:pPr>
        <w:pStyle w:val="Heading8"/>
        <w:jc w:val="left"/>
      </w:pPr>
      <w:r>
        <w:t>Zakonske i druge pravne osnove</w:t>
      </w:r>
    </w:p>
    <w:p w:rsidR="009520A9" w:rsidRDefault="00770482">
      <w:r>
        <w:t>•</w:t>
      </w:r>
      <w:r>
        <w:tab/>
        <w:t>Republika Hrvatska je ulaskom u Europsku uniju dobila mogućnost pristupanja Europskom gospodarskom prostoru (EGP). Pregovori oko pristu</w:t>
      </w:r>
      <w:r>
        <w:t>panja završeni su u travnju 2014. godine potpisivanjem Sporazuma o sudjelovanju u EGP-u čime je Republici Hrvatskoj omogućeno korištenje sredstava iz EGP financijskog mehanizma i Norveškog financijskog mehanizma 2009. – 2014. Zakon o potvrđivanju Memorandu</w:t>
      </w:r>
      <w:r>
        <w:t>ma o suglasnosti o provedbi EGP financijskog mehanizma za razdoblje od 2014. do 2021. godine između Islanda, Kneževine Lihtenštajna, Kraljevine Norveške i Republike Hrvatske te Zakon o potvrđivanju Memoranduma o suglasnosti o provedbi Norveškog financijsko</w:t>
      </w:r>
      <w:r>
        <w:t>g mehanizma za razdoblje od 2014. do 2021. godine između Kraljevine Norveške i Republike Hrvatske, čine pravni okvir za bespovratno korištenje financijskih sredstava o okviru EGP financijskog mehanizma za tekuće razdoblje.</w:t>
      </w:r>
    </w:p>
    <w:tbl>
      <w:tblPr>
        <w:tblStyle w:val="StilTablice"/>
        <w:tblW w:w="10206" w:type="dxa"/>
        <w:jc w:val="center"/>
        <w:tblLook w:val="04A0" w:firstRow="1" w:lastRow="0" w:firstColumn="1" w:lastColumn="0" w:noHBand="0" w:noVBand="1"/>
      </w:tblPr>
      <w:tblGrid>
        <w:gridCol w:w="1474"/>
        <w:gridCol w:w="1562"/>
        <w:gridCol w:w="1569"/>
        <w:gridCol w:w="1555"/>
        <w:gridCol w:w="1538"/>
        <w:gridCol w:w="1538"/>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A628090</w:t>
            </w:r>
          </w:p>
        </w:tc>
        <w:tc>
          <w:tcPr>
            <w:tcW w:w="1632" w:type="dxa"/>
            <w:vAlign w:val="top"/>
          </w:tcPr>
          <w:p w:rsidR="009520A9" w:rsidRDefault="00770482">
            <w:pPr>
              <w:jc w:val="right"/>
            </w:pPr>
            <w:r>
              <w:t>434.768</w:t>
            </w:r>
          </w:p>
        </w:tc>
        <w:tc>
          <w:tcPr>
            <w:tcW w:w="1632" w:type="dxa"/>
            <w:vAlign w:val="top"/>
          </w:tcPr>
          <w:p w:rsidR="009520A9" w:rsidRDefault="00770482">
            <w:pPr>
              <w:jc w:val="right"/>
            </w:pPr>
            <w:r>
              <w:t>2.993.967</w:t>
            </w:r>
          </w:p>
        </w:tc>
        <w:tc>
          <w:tcPr>
            <w:tcW w:w="1632" w:type="dxa"/>
            <w:vAlign w:val="top"/>
          </w:tcPr>
          <w:p w:rsidR="009520A9" w:rsidRDefault="00770482">
            <w:pPr>
              <w:jc w:val="right"/>
            </w:pPr>
            <w:r>
              <w:t>441.870</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510" w:type="dxa"/>
            <w:vAlign w:val="top"/>
          </w:tcPr>
          <w:p w:rsidR="009520A9" w:rsidRDefault="00770482">
            <w:pPr>
              <w:jc w:val="right"/>
            </w:pPr>
            <w:r>
              <w:t>14,8</w:t>
            </w:r>
          </w:p>
        </w:tc>
      </w:tr>
    </w:tbl>
    <w:p w:rsidR="009520A9" w:rsidRDefault="009520A9">
      <w:pPr>
        <w:jc w:val="left"/>
      </w:pPr>
    </w:p>
    <w:p w:rsidR="009520A9" w:rsidRDefault="00770482">
      <w:r>
        <w:t xml:space="preserve">Ugovor o dodjeli bespovratnih sredstava potpisan je s Ministarstvom regionalnoga razvoja i fondova EU dana 1. srpnja 2021. godine. </w:t>
      </w:r>
    </w:p>
    <w:p w:rsidR="009520A9" w:rsidRDefault="00770482">
      <w:r>
        <w:t>Svrha projekta je unaprjeđenje obrazovanja učenika s teškoćama u razvoju i smanjenje digitalnog jaza kroz osiguravanje dostupnosti asistivnih tehnologija temeljenih na informacijsko-komunikacijskim tehnologijama, te njenih adekvatnih i svrsishodnih primjen</w:t>
      </w:r>
      <w:r>
        <w:t xml:space="preserve">a u obrazovnom radu s učenicima s teškoćama u razvoju.  </w:t>
      </w:r>
    </w:p>
    <w:p w:rsidR="009520A9" w:rsidRDefault="00770482">
      <w:r>
        <w:t>Aktivnosti koje se planiraju provoditi su opremanje centara za odgoj i obrazovanje djece s teškoćama u razvoju asistivnim tehnologijama, edukacija učitelja i nastavnika za korištenje nabavljene oprem</w:t>
      </w:r>
      <w:r>
        <w:t>e u obrazovnom radu s učenicima i jačanje njihovih kompetencija u područjima posebne pedagogije, aktivnosti podizanja svijesti o korisnosti primjene asistivnih tehnologija u obrazovanju učenika s teškoćama u razvoju i diseminacija primjera dobre prakse, ja</w:t>
      </w:r>
      <w:r>
        <w:t>čanje kapaciteta partnera u projektu kao i odgovarajuće aktivnosti u vezi s vidljivošću i diseminacijom ključnih rezultata projekta. Projekt je fokusiran na posebne odgojno-obrazovne ustanove čija je djelatnost odgoj i obrazovanje učenika s teškoćama u raz</w:t>
      </w:r>
      <w:r>
        <w:t>voju.</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centara za odgoj i obrazovanje opremljenih asistivnim tehnologijam</w:t>
            </w:r>
            <w:r>
              <w:rPr>
                <w:rFonts w:cs="Times New Roman"/>
              </w:rPr>
              <w:t>a</w:t>
            </w:r>
          </w:p>
        </w:tc>
        <w:tc>
          <w:tcPr>
            <w:tcW w:w="2245" w:type="dxa"/>
            <w:vAlign w:val="top"/>
          </w:tcPr>
          <w:p w:rsidR="009520A9" w:rsidRDefault="00770482">
            <w:pPr>
              <w:pStyle w:val="CellColumn"/>
              <w:jc w:val="left"/>
            </w:pPr>
            <w:r>
              <w:rPr>
                <w:rFonts w:cs="Times New Roman"/>
              </w:rPr>
              <w:t>Centri za odgoj i obrazovanje u RH se planiraj opremiti asisitivnim tehnologijama sukladno prethodnom istraživanju njihovih stvarnih potreba.</w:t>
            </w:r>
          </w:p>
        </w:tc>
        <w:tc>
          <w:tcPr>
            <w:tcW w:w="918" w:type="dxa"/>
          </w:tcPr>
          <w:p w:rsidR="009520A9" w:rsidRDefault="00770482">
            <w:pPr>
              <w:jc w:val="center"/>
            </w:pPr>
            <w:r>
              <w:t>Bro</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27</w:t>
            </w:r>
          </w:p>
        </w:tc>
        <w:tc>
          <w:tcPr>
            <w:tcW w:w="918" w:type="dxa"/>
          </w:tcPr>
          <w:p w:rsidR="009520A9" w:rsidRDefault="00770482">
            <w:pPr>
              <w:jc w:val="center"/>
            </w:pPr>
            <w:r>
              <w:t>n/p</w:t>
            </w:r>
          </w:p>
        </w:tc>
        <w:tc>
          <w:tcPr>
            <w:tcW w:w="918" w:type="dxa"/>
          </w:tcPr>
          <w:p w:rsidR="009520A9" w:rsidRDefault="00770482">
            <w:pPr>
              <w:jc w:val="center"/>
            </w:pPr>
            <w:r>
              <w:t>n/p</w:t>
            </w:r>
          </w:p>
        </w:tc>
      </w:tr>
    </w:tbl>
    <w:p w:rsidR="009520A9" w:rsidRDefault="009520A9">
      <w:pPr>
        <w:jc w:val="left"/>
      </w:pPr>
    </w:p>
    <w:p w:rsidR="009520A9" w:rsidRDefault="00770482">
      <w:pPr>
        <w:pStyle w:val="Heading4"/>
      </w:pPr>
      <w:r>
        <w:t>A628091 OBRAZOVANJE U RURALNIM PODRUČJIMA - LEARNING FROM THE EXTREMES, A RURAL SCHOOLS INNOVATION ROADMAP</w:t>
      </w:r>
    </w:p>
    <w:p w:rsidR="009520A9" w:rsidRDefault="00770482">
      <w:pPr>
        <w:pStyle w:val="Heading8"/>
        <w:jc w:val="left"/>
      </w:pPr>
      <w:r>
        <w:t>Zakonske i druge pravne osnove</w:t>
      </w:r>
    </w:p>
    <w:p w:rsidR="009520A9" w:rsidRDefault="00770482">
      <w:r>
        <w:t>·</w:t>
      </w:r>
      <w:r>
        <w:tab/>
        <w:t>Ugovor o dodjeli bespovratnih sredstava br. LC-01760255 / 101052266 LfE / Learning from the Extremes</w:t>
      </w:r>
    </w:p>
    <w:tbl>
      <w:tblPr>
        <w:tblStyle w:val="StilTablice"/>
        <w:tblW w:w="10206" w:type="dxa"/>
        <w:jc w:val="center"/>
        <w:tblLook w:val="04A0" w:firstRow="1" w:lastRow="0" w:firstColumn="1" w:lastColumn="0" w:noHBand="0" w:noVBand="1"/>
      </w:tblPr>
      <w:tblGrid>
        <w:gridCol w:w="1477"/>
        <w:gridCol w:w="1567"/>
        <w:gridCol w:w="1560"/>
        <w:gridCol w:w="1544"/>
        <w:gridCol w:w="1544"/>
        <w:gridCol w:w="1544"/>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w:t>
            </w:r>
            <w:r>
              <w:rPr>
                <w:rFonts w:cs="Times New Roman"/>
              </w:rPr>
              <w: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A628091</w:t>
            </w:r>
          </w:p>
        </w:tc>
        <w:tc>
          <w:tcPr>
            <w:tcW w:w="1632" w:type="dxa"/>
            <w:vAlign w:val="top"/>
          </w:tcPr>
          <w:p w:rsidR="009520A9" w:rsidRDefault="00770482">
            <w:pPr>
              <w:jc w:val="right"/>
            </w:pPr>
            <w:r>
              <w:t>36.673</w:t>
            </w:r>
          </w:p>
        </w:tc>
        <w:tc>
          <w:tcPr>
            <w:tcW w:w="1632" w:type="dxa"/>
            <w:vAlign w:val="top"/>
          </w:tcPr>
          <w:p w:rsidR="009520A9" w:rsidRDefault="00770482">
            <w:pPr>
              <w:jc w:val="right"/>
            </w:pPr>
            <w:r>
              <w:t>191.260</w:t>
            </w:r>
          </w:p>
        </w:tc>
        <w:tc>
          <w:tcPr>
            <w:tcW w:w="1632" w:type="dxa"/>
            <w:vAlign w:val="top"/>
          </w:tcPr>
          <w:p w:rsidR="009520A9" w:rsidRDefault="00770482">
            <w:pPr>
              <w:jc w:val="right"/>
            </w:pPr>
            <w:r>
              <w:t>7.622</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510" w:type="dxa"/>
            <w:vAlign w:val="top"/>
          </w:tcPr>
          <w:p w:rsidR="009520A9" w:rsidRDefault="00770482">
            <w:pPr>
              <w:jc w:val="right"/>
            </w:pPr>
            <w:r>
              <w:t>4,0</w:t>
            </w:r>
          </w:p>
        </w:tc>
      </w:tr>
    </w:tbl>
    <w:p w:rsidR="009520A9" w:rsidRDefault="009520A9">
      <w:pPr>
        <w:jc w:val="left"/>
      </w:pPr>
    </w:p>
    <w:p w:rsidR="009520A9" w:rsidRDefault="00770482">
      <w:r>
        <w:t>Learning from the Extremes je EU projekt financiran iz linije Pilot Projects and Preparatory Actions (PPPA). Cilj ove projektne linije je povećanje pristupa obrazovnim alatima u područjima i zajednicama sa smanjenim pristupom internetu i tehnologijama. Tra</w:t>
      </w:r>
      <w:r>
        <w:t xml:space="preserve">janje projekta je 24 mjeseca. Koordinator projekta je Institouto Ekpedeftikis Politikis, a ostali partneri su: Ellinogermaniki Agogi Scholi Panagea Savva AE, Ministerio da Educacao e Ciencia, Nuclio Nucleo Anteractivo de Astronomia Associacao, Paidagogiko </w:t>
      </w:r>
      <w:r>
        <w:t>Institouto Kyprou, University of Cyprus, Hrvatska akademska i istraživačka mreža – CARNET, The Provost, Fellows, Foundation Scholars, and other members of Board, of the College of the Holy and Undivided Trinity of Queen Elizabeth near Dublin, Jyvaskylan yl</w:t>
      </w:r>
      <w:r>
        <w:t xml:space="preserve">iopisto, National Research Network Association, Intrasoft international SA, Ellinikh Enosh Dhmosiografon Episthmhs, Syggrafeon Episthmhs Kai Eikoinoniologon Episthmhs Astiki Etaireia, ATiT BVBA, Committee of the Dublin West Education Centre. </w:t>
      </w:r>
    </w:p>
    <w:p w:rsidR="009520A9" w:rsidRDefault="00770482">
      <w:r>
        <w:t>Cilj projekta je adresiranje nejednakosti u pristupu digitalnom obrazovanju jačanjem uključenosti i smanjenjem digitalnog jaza koji trpe školske zajednice iz udaljenih područja s niskom povezanosti, ograničenim ili nikakvim pristupom internetu, uređajima i</w:t>
      </w:r>
      <w:r>
        <w:t xml:space="preserve"> digitalnim obrazovnim alatima i sadržajima. </w:t>
      </w:r>
    </w:p>
    <w:p w:rsidR="009520A9" w:rsidRDefault="00770482">
      <w:r>
        <w:t>Kroz iskaz interesa škola, odabrano je 9 škola koje su se uključile u aktivnosti projekta. Početna vrijednost pokazatelja bila je definirana na 10 uključenih škola, no tijekom provedbe projekta, projektni koord</w:t>
      </w:r>
      <w:r>
        <w:t>inator smanjio je doprinos pokazatelju s 10 na 9 hrvatskih škola.  Kroz aktivnosti projekta odabranim osnovnim, srednjim i strukovnim školama omogućit će se korištenje najprikladnijih tehničkih rješenja u svrhu smanjenja digitalnog jaza te osiguravanja pri</w:t>
      </w:r>
      <w:r>
        <w:t>stupa digitalnim obrazovnim alatima i sadržajima.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škola uključenih u projekt</w:t>
            </w:r>
          </w:p>
        </w:tc>
        <w:tc>
          <w:tcPr>
            <w:tcW w:w="2245" w:type="dxa"/>
            <w:vAlign w:val="top"/>
          </w:tcPr>
          <w:p w:rsidR="009520A9" w:rsidRDefault="00770482">
            <w:pPr>
              <w:pStyle w:val="CellColumn"/>
              <w:jc w:val="left"/>
            </w:pPr>
            <w:r>
              <w:rPr>
                <w:rFonts w:cs="Times New Roman"/>
              </w:rPr>
              <w:t>Broj škola uključenih i opremljenih kroz projekt u svrhu smanjenja digitalnog jaza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9</w:t>
            </w:r>
          </w:p>
        </w:tc>
        <w:tc>
          <w:tcPr>
            <w:tcW w:w="918" w:type="dxa"/>
          </w:tcPr>
          <w:p w:rsidR="009520A9" w:rsidRDefault="00770482">
            <w:pPr>
              <w:jc w:val="center"/>
            </w:pPr>
            <w:r>
              <w:t>n/p</w:t>
            </w:r>
          </w:p>
        </w:tc>
        <w:tc>
          <w:tcPr>
            <w:tcW w:w="918" w:type="dxa"/>
          </w:tcPr>
          <w:p w:rsidR="009520A9" w:rsidRDefault="00770482">
            <w:pPr>
              <w:jc w:val="center"/>
            </w:pPr>
            <w:r>
              <w:t>n/p</w:t>
            </w:r>
          </w:p>
        </w:tc>
      </w:tr>
    </w:tbl>
    <w:p w:rsidR="009520A9" w:rsidRDefault="009520A9">
      <w:pPr>
        <w:jc w:val="left"/>
      </w:pPr>
    </w:p>
    <w:p w:rsidR="009520A9" w:rsidRDefault="00770482">
      <w:pPr>
        <w:pStyle w:val="Heading4"/>
      </w:pPr>
      <w:r>
        <w:t>K406669 CARNET - ZAJEDNIČKA RK INFRASTRUKTURA</w:t>
      </w:r>
    </w:p>
    <w:p w:rsidR="009520A9" w:rsidRDefault="00770482">
      <w:pPr>
        <w:pStyle w:val="Heading8"/>
        <w:jc w:val="left"/>
      </w:pPr>
      <w:r>
        <w:t>Zakonske i druge pravne osnove</w:t>
      </w:r>
    </w:p>
    <w:p w:rsidR="009520A9" w:rsidRDefault="00770482">
      <w:r>
        <w:t>●</w:t>
      </w:r>
      <w:r>
        <w:tab/>
        <w:t xml:space="preserve">Uredba o Hrvatskoj akademskoj i istraživačkoj mreži CARNET </w:t>
      </w:r>
    </w:p>
    <w:p w:rsidR="009520A9" w:rsidRDefault="00770482">
      <w:r>
        <w:t>●</w:t>
      </w:r>
      <w:r>
        <w:tab/>
        <w:t>Statut Hrvatske akademske i istraživačke mreže CARNET</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K406669</w:t>
            </w:r>
          </w:p>
        </w:tc>
        <w:tc>
          <w:tcPr>
            <w:tcW w:w="1632" w:type="dxa"/>
            <w:vAlign w:val="top"/>
          </w:tcPr>
          <w:p w:rsidR="009520A9" w:rsidRDefault="00770482">
            <w:pPr>
              <w:jc w:val="right"/>
            </w:pPr>
            <w:r>
              <w:t>209.849</w:t>
            </w:r>
          </w:p>
        </w:tc>
        <w:tc>
          <w:tcPr>
            <w:tcW w:w="1632" w:type="dxa"/>
            <w:vAlign w:val="top"/>
          </w:tcPr>
          <w:p w:rsidR="009520A9" w:rsidRDefault="00770482">
            <w:pPr>
              <w:jc w:val="right"/>
            </w:pPr>
            <w:r>
              <w:t>622.874</w:t>
            </w:r>
          </w:p>
        </w:tc>
        <w:tc>
          <w:tcPr>
            <w:tcW w:w="1632" w:type="dxa"/>
            <w:vAlign w:val="top"/>
          </w:tcPr>
          <w:p w:rsidR="009520A9" w:rsidRDefault="00770482">
            <w:pPr>
              <w:jc w:val="right"/>
            </w:pPr>
            <w:r>
              <w:t>1.537.920</w:t>
            </w:r>
          </w:p>
        </w:tc>
        <w:tc>
          <w:tcPr>
            <w:tcW w:w="1632" w:type="dxa"/>
            <w:vAlign w:val="top"/>
          </w:tcPr>
          <w:p w:rsidR="009520A9" w:rsidRDefault="00770482">
            <w:pPr>
              <w:jc w:val="right"/>
            </w:pPr>
            <w:r>
              <w:t>1.307.920</w:t>
            </w:r>
          </w:p>
        </w:tc>
        <w:tc>
          <w:tcPr>
            <w:tcW w:w="1632" w:type="dxa"/>
            <w:vAlign w:val="top"/>
          </w:tcPr>
          <w:p w:rsidR="009520A9" w:rsidRDefault="00770482">
            <w:pPr>
              <w:jc w:val="right"/>
            </w:pPr>
            <w:r>
              <w:t>1.307.920</w:t>
            </w:r>
          </w:p>
        </w:tc>
        <w:tc>
          <w:tcPr>
            <w:tcW w:w="510" w:type="dxa"/>
            <w:vAlign w:val="top"/>
          </w:tcPr>
          <w:p w:rsidR="009520A9" w:rsidRDefault="00770482">
            <w:pPr>
              <w:jc w:val="right"/>
            </w:pPr>
            <w:r>
              <w:t>246,9</w:t>
            </w:r>
          </w:p>
        </w:tc>
      </w:tr>
    </w:tbl>
    <w:p w:rsidR="009520A9" w:rsidRDefault="009520A9">
      <w:pPr>
        <w:jc w:val="left"/>
      </w:pPr>
    </w:p>
    <w:p w:rsidR="009520A9" w:rsidRDefault="00770482">
      <w:r>
        <w:t>Za povezivanje CARNET ustanova  na okosnicu CARNET mrežu i za izgradnju jezgre CARNET mreže potrebno je, uz telekomunikacijske kapacitete/vodove, osigurati i odgovarajuću komunikacijsku opremu, a sukladno novim tehnologijama (aktivna mrežna oprema: usmjeri</w:t>
      </w:r>
      <w:r>
        <w:t xml:space="preserve">vači, preklopnici i sl.). Također cilj ove aktivnost je vlastito izgrađena svjetlovodna infrastruktura za povezivanje lokacija ustanova na CARNET mrežu u suradnji s Gradom Splitom (projekt e-Split), Rijekom (projekt e-Rijeka) i Pulom (projekt e-Pula), kao </w:t>
      </w:r>
      <w:r>
        <w:t>i implementacija sustava temeljem Uredbe Vlade RH o obvezama iz područja nacionalne sigurnosti RH za pravne i fizičke osobe u telekomunikacijama, Dopisa Ureda Vijeća za Nacionalnu sigurnost, Zakona o sigurnosno-obavještajnom sustavu RH, te za nadogradnju i</w:t>
      </w:r>
      <w:r>
        <w:t xml:space="preserve"> održavanje sustava za obranu od napada (aDDoS). Ovom aktivnosti obuhvaćeno je i adekvatno održavanje informatičke opreme i programskih sustava razvijenih u sklopu programa „Cjelovita informatizacija procesa poslovanja škola i nastavnih procesa u svrhu stv</w:t>
      </w:r>
      <w:r>
        <w:t xml:space="preserve">aranja digitalno zrelih škola za 21. stoljeće” s ciljem jačanja kapaciteta osnovnoškolskog i srednjoškolskog obrazovnog sustava te osposobljavanja učenika za tržište rada, daljnje školovanje i cjeloživotno učenje. Predmetni sustavi su pušteni u produkciju </w:t>
      </w:r>
      <w:r>
        <w:t xml:space="preserve">tokom 2022. godine i za nastavak održivosti ostvarenih rezultata programa planira se realizacija sljedećih nabava i održavanja: </w:t>
      </w:r>
    </w:p>
    <w:p w:rsidR="009520A9" w:rsidRDefault="00770482">
      <w:r>
        <w:t>-</w:t>
      </w:r>
      <w:r>
        <w:tab/>
        <w:t xml:space="preserve">Nabava održavanja komponenata skole.hr imeničkog sustava </w:t>
      </w:r>
    </w:p>
    <w:p w:rsidR="009520A9" w:rsidRDefault="00770482">
      <w:r>
        <w:t>-</w:t>
      </w:r>
      <w:r>
        <w:tab/>
        <w:t>Nabava potrebnih licenci za sustav za upravljanje mrežnim stranic</w:t>
      </w:r>
      <w:r>
        <w:t xml:space="preserve">ama osnovnih i srednjih škola </w:t>
      </w:r>
    </w:p>
    <w:p w:rsidR="009520A9" w:rsidRDefault="00770482">
      <w:r>
        <w:t>-</w:t>
      </w:r>
      <w:r>
        <w:tab/>
        <w:t xml:space="preserve">Nabava održavanja virtualizacijske i kontejnerske platforme unutar podatkovnog centra </w:t>
      </w:r>
    </w:p>
    <w:p w:rsidR="009520A9" w:rsidRDefault="00770482">
      <w:r>
        <w:t>-</w:t>
      </w:r>
      <w:r>
        <w:tab/>
        <w:t xml:space="preserve">Nabava održavanja sustava za upravljanje API pozivima </w:t>
      </w:r>
    </w:p>
    <w:p w:rsidR="009520A9" w:rsidRDefault="00770482">
      <w:r>
        <w:t>-</w:t>
      </w:r>
      <w:r>
        <w:tab/>
        <w:t>Nabava održavanja sustava za upravljanje GDPR zahtjevima, privolama i podacim</w:t>
      </w:r>
      <w:r>
        <w:t>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Nadogradnja komunikacijske opreme za CARNET mrežu</w:t>
            </w:r>
          </w:p>
        </w:tc>
        <w:tc>
          <w:tcPr>
            <w:tcW w:w="2245" w:type="dxa"/>
            <w:vAlign w:val="top"/>
          </w:tcPr>
          <w:p w:rsidR="009520A9" w:rsidRDefault="00770482">
            <w:pPr>
              <w:pStyle w:val="CellColumn"/>
              <w:jc w:val="left"/>
            </w:pPr>
            <w:r>
              <w:rPr>
                <w:rFonts w:cs="Times New Roman"/>
              </w:rPr>
              <w:t>Razvojem i napretkom tehnologija za funkcioniranje i stabilnost CARNET mreže nadograđuje se novim komponentama komunikacijske opreme, a time se obnavljaju zastarjele i neadekvatne komponente.</w:t>
            </w:r>
          </w:p>
        </w:tc>
        <w:tc>
          <w:tcPr>
            <w:tcW w:w="918" w:type="dxa"/>
          </w:tcPr>
          <w:p w:rsidR="009520A9" w:rsidRDefault="00770482">
            <w:pPr>
              <w:jc w:val="center"/>
            </w:pPr>
            <w:r>
              <w:t>%</w:t>
            </w:r>
          </w:p>
        </w:tc>
        <w:tc>
          <w:tcPr>
            <w:tcW w:w="918" w:type="dxa"/>
          </w:tcPr>
          <w:p w:rsidR="009520A9" w:rsidRDefault="00770482">
            <w:pPr>
              <w:jc w:val="center"/>
            </w:pPr>
            <w:r>
              <w:t>100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100</w:t>
            </w:r>
          </w:p>
        </w:tc>
        <w:tc>
          <w:tcPr>
            <w:tcW w:w="918" w:type="dxa"/>
          </w:tcPr>
          <w:p w:rsidR="009520A9" w:rsidRDefault="00770482">
            <w:pPr>
              <w:jc w:val="center"/>
            </w:pPr>
            <w:r>
              <w:t>100</w:t>
            </w:r>
          </w:p>
        </w:tc>
        <w:tc>
          <w:tcPr>
            <w:tcW w:w="918" w:type="dxa"/>
          </w:tcPr>
          <w:p w:rsidR="009520A9" w:rsidRDefault="00770482">
            <w:pPr>
              <w:jc w:val="center"/>
            </w:pPr>
            <w:r>
              <w:t>100</w:t>
            </w:r>
          </w:p>
        </w:tc>
      </w:tr>
      <w:tr w:rsidR="009520A9">
        <w:trPr>
          <w:jc w:val="center"/>
        </w:trPr>
        <w:tc>
          <w:tcPr>
            <w:tcW w:w="2245" w:type="dxa"/>
            <w:vAlign w:val="top"/>
          </w:tcPr>
          <w:p w:rsidR="009520A9" w:rsidRDefault="00770482">
            <w:pPr>
              <w:pStyle w:val="CellColumn"/>
              <w:jc w:val="left"/>
            </w:pPr>
            <w:r>
              <w:rPr>
                <w:rFonts w:cs="Times New Roman"/>
              </w:rPr>
              <w:t>Vlastito izgrađena  svjetlovodna infrastrukture za povezivanje lokacija na CARNET mrežu</w:t>
            </w:r>
          </w:p>
        </w:tc>
        <w:tc>
          <w:tcPr>
            <w:tcW w:w="2245" w:type="dxa"/>
            <w:vAlign w:val="top"/>
          </w:tcPr>
          <w:p w:rsidR="009520A9" w:rsidRDefault="00770482">
            <w:pPr>
              <w:pStyle w:val="CellColumn"/>
              <w:jc w:val="left"/>
            </w:pPr>
            <w:r>
              <w:rPr>
                <w:rFonts w:cs="Times New Roman"/>
              </w:rPr>
              <w:t>Broj novih lokacija ustanova povezanih na CARNET mrežu kroz vlastito izgrađenu svjetlovodnu infratsrukturu</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5</w:t>
            </w:r>
          </w:p>
        </w:tc>
        <w:tc>
          <w:tcPr>
            <w:tcW w:w="918" w:type="dxa"/>
          </w:tcPr>
          <w:p w:rsidR="009520A9" w:rsidRDefault="00770482">
            <w:pPr>
              <w:jc w:val="center"/>
            </w:pPr>
            <w:r>
              <w:t>3</w:t>
            </w:r>
          </w:p>
        </w:tc>
        <w:tc>
          <w:tcPr>
            <w:tcW w:w="918" w:type="dxa"/>
          </w:tcPr>
          <w:p w:rsidR="009520A9" w:rsidRDefault="00770482">
            <w:pPr>
              <w:jc w:val="center"/>
            </w:pPr>
            <w:r>
              <w:t>3</w:t>
            </w:r>
          </w:p>
        </w:tc>
      </w:tr>
      <w:tr w:rsidR="009520A9">
        <w:trPr>
          <w:jc w:val="center"/>
        </w:trPr>
        <w:tc>
          <w:tcPr>
            <w:tcW w:w="2245" w:type="dxa"/>
            <w:vAlign w:val="top"/>
          </w:tcPr>
          <w:p w:rsidR="009520A9" w:rsidRDefault="00770482">
            <w:pPr>
              <w:pStyle w:val="CellColumn"/>
              <w:jc w:val="left"/>
            </w:pPr>
            <w:r>
              <w:rPr>
                <w:rFonts w:cs="Times New Roman"/>
              </w:rPr>
              <w:t>Nadogradnja i održavanje sustava za obra</w:t>
            </w:r>
            <w:r>
              <w:rPr>
                <w:rFonts w:cs="Times New Roman"/>
              </w:rPr>
              <w:t>nu od napada (aDDoS)</w:t>
            </w:r>
          </w:p>
        </w:tc>
        <w:tc>
          <w:tcPr>
            <w:tcW w:w="2245" w:type="dxa"/>
            <w:vAlign w:val="top"/>
          </w:tcPr>
          <w:p w:rsidR="009520A9" w:rsidRDefault="00770482">
            <w:pPr>
              <w:pStyle w:val="CellColumn"/>
              <w:jc w:val="left"/>
            </w:pPr>
            <w:r>
              <w:rPr>
                <w:rFonts w:cs="Times New Roman"/>
              </w:rPr>
              <w:t>Nadogradnja i održavanje sustava za obranu od napada (aDDoS)</w:t>
            </w:r>
          </w:p>
        </w:tc>
        <w:tc>
          <w:tcPr>
            <w:tcW w:w="918" w:type="dxa"/>
          </w:tcPr>
          <w:p w:rsidR="009520A9" w:rsidRDefault="00770482">
            <w:pPr>
              <w:jc w:val="center"/>
            </w:pPr>
            <w:r>
              <w:t>%</w:t>
            </w:r>
          </w:p>
        </w:tc>
        <w:tc>
          <w:tcPr>
            <w:tcW w:w="918" w:type="dxa"/>
          </w:tcPr>
          <w:p w:rsidR="009520A9" w:rsidRDefault="00770482">
            <w:pPr>
              <w:jc w:val="center"/>
            </w:pPr>
            <w:r>
              <w:t>100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100</w:t>
            </w:r>
          </w:p>
        </w:tc>
        <w:tc>
          <w:tcPr>
            <w:tcW w:w="918" w:type="dxa"/>
          </w:tcPr>
          <w:p w:rsidR="009520A9" w:rsidRDefault="00770482">
            <w:pPr>
              <w:jc w:val="center"/>
            </w:pPr>
            <w:r>
              <w:t>100</w:t>
            </w:r>
          </w:p>
        </w:tc>
        <w:tc>
          <w:tcPr>
            <w:tcW w:w="918" w:type="dxa"/>
          </w:tcPr>
          <w:p w:rsidR="009520A9" w:rsidRDefault="00770482">
            <w:pPr>
              <w:jc w:val="center"/>
            </w:pPr>
            <w:r>
              <w:t>100</w:t>
            </w:r>
          </w:p>
        </w:tc>
      </w:tr>
    </w:tbl>
    <w:p w:rsidR="009520A9" w:rsidRDefault="009520A9">
      <w:pPr>
        <w:jc w:val="left"/>
      </w:pPr>
    </w:p>
    <w:p w:rsidR="009520A9" w:rsidRDefault="00770482">
      <w:pPr>
        <w:pStyle w:val="Heading4"/>
      </w:pPr>
      <w:r>
        <w:t>K628069 ULAGANJE U OPREMU ZA ODRŽAVANJE NACIONALNIH I INFORMACIJSKIH SERVISA</w:t>
      </w:r>
    </w:p>
    <w:p w:rsidR="009520A9" w:rsidRDefault="00770482">
      <w:pPr>
        <w:pStyle w:val="Heading8"/>
        <w:jc w:val="left"/>
      </w:pPr>
      <w:r>
        <w:t>Zakonske i druge pravne osnove</w:t>
      </w:r>
    </w:p>
    <w:p w:rsidR="009520A9" w:rsidRDefault="00770482">
      <w:r>
        <w:t>•</w:t>
      </w:r>
      <w:r>
        <w:tab/>
        <w:t xml:space="preserve">Odluka Ministarstva o uspostavi Centra podrške za Nacionalni informacijski sustav prijava i upisa u srednje škole NISpuSŠ  </w:t>
      </w:r>
    </w:p>
    <w:p w:rsidR="009520A9" w:rsidRDefault="00770482">
      <w:r>
        <w:t>•</w:t>
      </w:r>
      <w:r>
        <w:tab/>
        <w:t>Odluka Ministarstva o uspostavi i radu Centara potpore Integriranom informacijskom sustavu za upravljanje standardiziranim skupo</w:t>
      </w:r>
      <w:r>
        <w:t>vima podataka u obrazovanju eMatica u CARNET-u</w:t>
      </w:r>
    </w:p>
    <w:tbl>
      <w:tblPr>
        <w:tblStyle w:val="StilTablice"/>
        <w:tblW w:w="10206" w:type="dxa"/>
        <w:jc w:val="center"/>
        <w:tblLook w:val="04A0" w:firstRow="1" w:lastRow="0" w:firstColumn="1" w:lastColumn="0" w:noHBand="0" w:noVBand="1"/>
      </w:tblPr>
      <w:tblGrid>
        <w:gridCol w:w="1469"/>
        <w:gridCol w:w="1557"/>
        <w:gridCol w:w="1549"/>
        <w:gridCol w:w="1563"/>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K628069</w:t>
            </w:r>
          </w:p>
        </w:tc>
        <w:tc>
          <w:tcPr>
            <w:tcW w:w="1632" w:type="dxa"/>
            <w:vAlign w:val="top"/>
          </w:tcPr>
          <w:p w:rsidR="009520A9" w:rsidRDefault="00770482">
            <w:pPr>
              <w:jc w:val="right"/>
            </w:pPr>
            <w:r>
              <w:t>84.652</w:t>
            </w:r>
          </w:p>
        </w:tc>
        <w:tc>
          <w:tcPr>
            <w:tcW w:w="1632" w:type="dxa"/>
            <w:vAlign w:val="top"/>
          </w:tcPr>
          <w:p w:rsidR="009520A9" w:rsidRDefault="00770482">
            <w:pPr>
              <w:jc w:val="right"/>
            </w:pPr>
            <w:r>
              <w:t>249.144</w:t>
            </w:r>
          </w:p>
        </w:tc>
        <w:tc>
          <w:tcPr>
            <w:tcW w:w="1632" w:type="dxa"/>
            <w:vAlign w:val="top"/>
          </w:tcPr>
          <w:p w:rsidR="009520A9" w:rsidRDefault="00770482">
            <w:pPr>
              <w:jc w:val="right"/>
            </w:pPr>
            <w:r>
              <w:t>1.570.140</w:t>
            </w:r>
          </w:p>
        </w:tc>
        <w:tc>
          <w:tcPr>
            <w:tcW w:w="1632" w:type="dxa"/>
            <w:vAlign w:val="top"/>
          </w:tcPr>
          <w:p w:rsidR="009520A9" w:rsidRDefault="00770482">
            <w:pPr>
              <w:jc w:val="right"/>
            </w:pPr>
            <w:r>
              <w:t>532.890</w:t>
            </w:r>
          </w:p>
        </w:tc>
        <w:tc>
          <w:tcPr>
            <w:tcW w:w="1632" w:type="dxa"/>
            <w:vAlign w:val="top"/>
          </w:tcPr>
          <w:p w:rsidR="009520A9" w:rsidRDefault="00770482">
            <w:pPr>
              <w:jc w:val="right"/>
            </w:pPr>
            <w:r>
              <w:t>532.890</w:t>
            </w:r>
          </w:p>
        </w:tc>
        <w:tc>
          <w:tcPr>
            <w:tcW w:w="510" w:type="dxa"/>
            <w:vAlign w:val="top"/>
          </w:tcPr>
          <w:p w:rsidR="009520A9" w:rsidRDefault="00770482">
            <w:pPr>
              <w:jc w:val="right"/>
            </w:pPr>
            <w:r>
              <w:t>630,2</w:t>
            </w:r>
          </w:p>
        </w:tc>
      </w:tr>
    </w:tbl>
    <w:p w:rsidR="009520A9" w:rsidRDefault="009520A9">
      <w:pPr>
        <w:jc w:val="left"/>
      </w:pPr>
    </w:p>
    <w:p w:rsidR="009520A9" w:rsidRDefault="00770482">
      <w:r>
        <w:t xml:space="preserve">Ovom aktivnosti obuhvaćeno je adekvatno proširenje programske i informatičke opreme sljedećih sustava:  e-Dnevnik, CARNET Info i CARNET Sigma  </w:t>
      </w:r>
    </w:p>
    <w:p w:rsidR="009520A9" w:rsidRDefault="00770482">
      <w:r>
        <w:t>CARNET info je self-care portal koji korisnicima omogućava uvid u podatke o CARNET-ovim uslugama, aplikacijama i</w:t>
      </w:r>
      <w:r>
        <w:t xml:space="preserve"> projektnim aktivnostima korištenjem različitih baza i izvora podataka kao i izvještajima iz povezanih sustava. Nadogradnjom sustava omogućit će se integracije s dodatnim izvorima podataka i razvoj novih funkcionalnosti u cilju proširenja korisničke baze i</w:t>
      </w:r>
      <w:r>
        <w:t xml:space="preserve"> unaprjeđenja korisničkog iskustva. </w:t>
      </w:r>
    </w:p>
    <w:p w:rsidR="009520A9" w:rsidRDefault="00770482">
      <w:r>
        <w:t>Sustav za informatizaciju poslovanja ustanove CARNET sigma je centralizirani, jedinstveni i standardizirani sustav za informatizaciju poslovanja i praćenja poslovnih procesa u školama. Baziran je na proračunskome računo</w:t>
      </w:r>
      <w:r>
        <w:t xml:space="preserve">vodstvu i poslovanju korisnika državnoga proračuna te treba biti integriran s postojećom imeničkom infrastrukturom, a po potrebi i s ostalim uslugama kojima se škole koriste. Usluga je namijenjena svim školama u Republici Hrvatskoj. </w:t>
      </w:r>
    </w:p>
    <w:p w:rsidR="009520A9" w:rsidRDefault="00770482">
      <w:r>
        <w:t>CARNET u idućoj godini</w:t>
      </w:r>
      <w:r>
        <w:t xml:space="preserve"> nastavlja s radom na novim funkcionalnostima e-Dnevnika prema zahtjevima škola i Ministarstva znanosti obrazovanja.  </w:t>
      </w:r>
    </w:p>
    <w:p w:rsidR="009520A9" w:rsidRDefault="00770482">
      <w:r>
        <w:t>Iznosi za sve navedene nadogradnje planiraju se temeljem povijesnih podatka prethodnih godina i prema cijenama na tržištu, te su planiran</w:t>
      </w:r>
      <w:r>
        <w:t>i iznosi za nadogradnju sustava CARNET info 102.500,00 EUR, a za nadogradnju sustava CARNET sigma 156.250,00 EUR. Nadogradnje sustava se planiraju i rade sukladno zakonskim promjenama, prema zahtjevima MZO te prema zahtjevima škola i nastavnika.</w:t>
      </w:r>
    </w:p>
    <w:p w:rsidR="009520A9" w:rsidRDefault="00770482">
      <w:pPr>
        <w:pStyle w:val="Heading8"/>
        <w:jc w:val="left"/>
      </w:pPr>
      <w:r>
        <w:t>Pokazatelj</w:t>
      </w:r>
      <w:r>
        <w:t>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škola u e-Dnevnik sustavu</w:t>
            </w:r>
          </w:p>
        </w:tc>
        <w:tc>
          <w:tcPr>
            <w:tcW w:w="2245" w:type="dxa"/>
            <w:vAlign w:val="top"/>
          </w:tcPr>
          <w:p w:rsidR="009520A9" w:rsidRDefault="00770482">
            <w:pPr>
              <w:pStyle w:val="CellColumn"/>
              <w:jc w:val="left"/>
            </w:pPr>
            <w:r>
              <w:rPr>
                <w:rFonts w:cs="Times New Roman"/>
              </w:rPr>
              <w:t>Osigurati stabilan sustav vođenja razredne knjige u elektroničkom obliku</w:t>
            </w:r>
          </w:p>
        </w:tc>
        <w:tc>
          <w:tcPr>
            <w:tcW w:w="918" w:type="dxa"/>
          </w:tcPr>
          <w:p w:rsidR="009520A9" w:rsidRDefault="00770482">
            <w:pPr>
              <w:jc w:val="center"/>
            </w:pPr>
            <w:r>
              <w:t>Broj</w:t>
            </w:r>
          </w:p>
        </w:tc>
        <w:tc>
          <w:tcPr>
            <w:tcW w:w="918" w:type="dxa"/>
          </w:tcPr>
          <w:p w:rsidR="009520A9" w:rsidRDefault="00770482">
            <w:pPr>
              <w:jc w:val="center"/>
            </w:pPr>
            <w:r>
              <w:t>1364</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1370</w:t>
            </w:r>
          </w:p>
        </w:tc>
        <w:tc>
          <w:tcPr>
            <w:tcW w:w="918" w:type="dxa"/>
          </w:tcPr>
          <w:p w:rsidR="009520A9" w:rsidRDefault="00770482">
            <w:pPr>
              <w:jc w:val="center"/>
            </w:pPr>
            <w:r>
              <w:t>1372</w:t>
            </w:r>
          </w:p>
        </w:tc>
        <w:tc>
          <w:tcPr>
            <w:tcW w:w="918" w:type="dxa"/>
          </w:tcPr>
          <w:p w:rsidR="009520A9" w:rsidRDefault="00770482">
            <w:pPr>
              <w:jc w:val="center"/>
            </w:pPr>
            <w:r>
              <w:t>1374</w:t>
            </w:r>
          </w:p>
        </w:tc>
      </w:tr>
      <w:tr w:rsidR="009520A9">
        <w:trPr>
          <w:jc w:val="center"/>
        </w:trPr>
        <w:tc>
          <w:tcPr>
            <w:tcW w:w="2245" w:type="dxa"/>
            <w:vAlign w:val="top"/>
          </w:tcPr>
          <w:p w:rsidR="009520A9" w:rsidRDefault="00770482">
            <w:pPr>
              <w:pStyle w:val="CellColumn"/>
              <w:jc w:val="left"/>
            </w:pPr>
            <w:r>
              <w:rPr>
                <w:rFonts w:cs="Times New Roman"/>
              </w:rPr>
              <w:t>SO400- Broj podržanih usluga za razvoj i unapređenje</w:t>
            </w:r>
          </w:p>
        </w:tc>
        <w:tc>
          <w:tcPr>
            <w:tcW w:w="2245" w:type="dxa"/>
            <w:vAlign w:val="top"/>
          </w:tcPr>
          <w:p w:rsidR="009520A9" w:rsidRDefault="00770482">
            <w:pPr>
              <w:pStyle w:val="CellColumn"/>
              <w:jc w:val="left"/>
            </w:pPr>
            <w:r>
              <w:rPr>
                <w:rFonts w:cs="Times New Roman"/>
              </w:rPr>
              <w:t xml:space="preserve">Razviti nove te unaprijediti i povezati postojeće e-usluge u vezi s procesom upisa od ustanova ranog i predškolskog odgoja i obrazovanja do prijava na visoka učilišta, odnosno uspostaviti nacionalni informacijski sustav za obrazovanje odraslih, te prijavu </w:t>
            </w:r>
            <w:r>
              <w:rPr>
                <w:rFonts w:cs="Times New Roman"/>
              </w:rPr>
              <w:t>i prijem u učeničke domove</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6</w:t>
            </w:r>
          </w:p>
        </w:tc>
        <w:tc>
          <w:tcPr>
            <w:tcW w:w="918" w:type="dxa"/>
          </w:tcPr>
          <w:p w:rsidR="009520A9" w:rsidRDefault="00770482">
            <w:pPr>
              <w:jc w:val="center"/>
            </w:pPr>
            <w:r>
              <w:t>7</w:t>
            </w:r>
          </w:p>
        </w:tc>
        <w:tc>
          <w:tcPr>
            <w:tcW w:w="918" w:type="dxa"/>
          </w:tcPr>
          <w:p w:rsidR="009520A9" w:rsidRDefault="00770482">
            <w:pPr>
              <w:jc w:val="center"/>
            </w:pPr>
            <w:r>
              <w:t>0</w:t>
            </w:r>
          </w:p>
        </w:tc>
      </w:tr>
    </w:tbl>
    <w:p w:rsidR="009520A9" w:rsidRDefault="009520A9">
      <w:pPr>
        <w:jc w:val="left"/>
      </w:pPr>
    </w:p>
    <w:p w:rsidR="009520A9" w:rsidRDefault="00770482">
      <w:pPr>
        <w:pStyle w:val="Heading4"/>
      </w:pPr>
      <w:r>
        <w:t>K628093 DIGITALNA PREOBRAZBA VISOKOG OBRAZOVANJA E-SVEUČILIŠTA - NPOO (C3.2.R2)</w:t>
      </w:r>
    </w:p>
    <w:p w:rsidR="009520A9" w:rsidRDefault="00770482">
      <w:pPr>
        <w:pStyle w:val="Heading8"/>
        <w:jc w:val="left"/>
      </w:pPr>
      <w:r>
        <w:t>Zakonske i druge pravne osnove</w:t>
      </w:r>
    </w:p>
    <w:p w:rsidR="009520A9" w:rsidRDefault="00770482">
      <w:r>
        <w:t>•</w:t>
      </w:r>
      <w:r>
        <w:tab/>
        <w:t>Sporazum o pravima i obvezama vezanim uz upravljanje projektom “e-Sveučilišta” sklopljen izmeđ</w:t>
      </w:r>
      <w:r>
        <w:t xml:space="preserve">u Ministarstva znanosti i obrazovanja i Hrvatske akademske i istraživačke mreže - CARNET.  </w:t>
      </w:r>
    </w:p>
    <w:p w:rsidR="009520A9" w:rsidRDefault="00770482">
      <w:r>
        <w:t>•</w:t>
      </w:r>
      <w:r>
        <w:tab/>
        <w:t>Odluka o utvrđivanju unaprijed definiranog prijavitelja za provedbu aktivnosti utvrđenih investicijom C.3.1.R2.I1 Nacionalnog plana oporavka i otpornosti 2021.-20</w:t>
      </w:r>
      <w:r>
        <w:t>26.</w:t>
      </w:r>
    </w:p>
    <w:tbl>
      <w:tblPr>
        <w:tblStyle w:val="StilTablice"/>
        <w:tblW w:w="10206" w:type="dxa"/>
        <w:jc w:val="center"/>
        <w:tblLook w:val="04A0" w:firstRow="1" w:lastRow="0" w:firstColumn="1" w:lastColumn="0" w:noHBand="0" w:noVBand="1"/>
      </w:tblPr>
      <w:tblGrid>
        <w:gridCol w:w="1461"/>
        <w:gridCol w:w="1545"/>
        <w:gridCol w:w="1552"/>
        <w:gridCol w:w="1563"/>
        <w:gridCol w:w="1563"/>
        <w:gridCol w:w="1552"/>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K628093</w:t>
            </w:r>
          </w:p>
        </w:tc>
        <w:tc>
          <w:tcPr>
            <w:tcW w:w="1632" w:type="dxa"/>
            <w:vAlign w:val="top"/>
          </w:tcPr>
          <w:p w:rsidR="009520A9" w:rsidRDefault="00770482">
            <w:pPr>
              <w:jc w:val="right"/>
            </w:pPr>
            <w:r>
              <w:t>72.533</w:t>
            </w:r>
          </w:p>
        </w:tc>
        <w:tc>
          <w:tcPr>
            <w:tcW w:w="1632" w:type="dxa"/>
            <w:vAlign w:val="top"/>
          </w:tcPr>
          <w:p w:rsidR="009520A9" w:rsidRDefault="00770482">
            <w:pPr>
              <w:jc w:val="right"/>
            </w:pPr>
            <w:r>
              <w:t>3.977.528</w:t>
            </w:r>
          </w:p>
        </w:tc>
        <w:tc>
          <w:tcPr>
            <w:tcW w:w="1632" w:type="dxa"/>
            <w:vAlign w:val="top"/>
          </w:tcPr>
          <w:p w:rsidR="009520A9" w:rsidRDefault="00770482">
            <w:pPr>
              <w:jc w:val="right"/>
            </w:pPr>
            <w:r>
              <w:t>28.795.250</w:t>
            </w:r>
          </w:p>
        </w:tc>
        <w:tc>
          <w:tcPr>
            <w:tcW w:w="1632" w:type="dxa"/>
            <w:vAlign w:val="top"/>
          </w:tcPr>
          <w:p w:rsidR="009520A9" w:rsidRDefault="00770482">
            <w:pPr>
              <w:jc w:val="right"/>
            </w:pPr>
            <w:r>
              <w:t>41.519.734</w:t>
            </w:r>
          </w:p>
        </w:tc>
        <w:tc>
          <w:tcPr>
            <w:tcW w:w="1632" w:type="dxa"/>
            <w:vAlign w:val="top"/>
          </w:tcPr>
          <w:p w:rsidR="009520A9" w:rsidRDefault="00770482">
            <w:pPr>
              <w:jc w:val="right"/>
            </w:pPr>
            <w:r>
              <w:t>1.566.660</w:t>
            </w:r>
          </w:p>
        </w:tc>
        <w:tc>
          <w:tcPr>
            <w:tcW w:w="510" w:type="dxa"/>
            <w:vAlign w:val="top"/>
          </w:tcPr>
          <w:p w:rsidR="009520A9" w:rsidRDefault="00770482">
            <w:pPr>
              <w:jc w:val="right"/>
            </w:pPr>
            <w:r>
              <w:t>723,9</w:t>
            </w:r>
          </w:p>
        </w:tc>
      </w:tr>
    </w:tbl>
    <w:p w:rsidR="009520A9" w:rsidRDefault="009520A9">
      <w:pPr>
        <w:jc w:val="left"/>
      </w:pPr>
    </w:p>
    <w:p w:rsidR="009520A9" w:rsidRDefault="00770482">
      <w:r>
        <w:t>Cilj projekta “e-Sveučilišta” jest unaprjeđenje kvalitete i dostupnosti sustava visokog obrazovanja, osnaživanjem fleksibilnosti i inovativnosti javnih visokih učilišta kroz podršku ulaganjima u digitalnu nastavnu infrastrukturu koja će doprinijeti učinkov</w:t>
      </w:r>
      <w:r>
        <w:t xml:space="preserve">itosti digitalne preobrazbe i povećanju digitalne zrelosti visokog obrazovanja na cijelom području RH. </w:t>
      </w:r>
    </w:p>
    <w:p w:rsidR="009520A9" w:rsidRDefault="00770482">
      <w:r>
        <w:t>Predmetna investicija planira ulaganja u digitalnu nastavnu infrastrukturu, opremu i povezane servise, aplikativna rješenja alate i sadržaje, horizontal</w:t>
      </w:r>
      <w:r>
        <w:t>ne aktivnosti kibernetičke sigurnosti, unaprjeđenje postojećeg informatičkog sustava i povezivanje evidencija u visokom obrazovanju te obrazovne programe osnaživanja kompetencija nastavnog osoblja za učenje i poučavanje u digitalnom okruženju kao i neophod</w:t>
      </w:r>
      <w:r>
        <w:t>nu podršku i obuku stručno-tehničkog osoblja.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NPOO.C3.1.R2-I1-T274 Udio javnih visokih učilišta opremljen digitalnom infrastrukturom</w:t>
            </w:r>
          </w:p>
        </w:tc>
        <w:tc>
          <w:tcPr>
            <w:tcW w:w="2245" w:type="dxa"/>
            <w:vAlign w:val="top"/>
          </w:tcPr>
          <w:p w:rsidR="009520A9" w:rsidRDefault="00770482">
            <w:pPr>
              <w:pStyle w:val="CellColumn"/>
              <w:jc w:val="left"/>
            </w:pPr>
            <w:r>
              <w:rPr>
                <w:rFonts w:cs="Times New Roman"/>
              </w:rPr>
              <w:t>Pokazatelj se odnosi na postotak javnih visokih učilišta opremljenih digitalnom infrastrukturom u sklopu navedene investicije.</w:t>
            </w:r>
          </w:p>
        </w:tc>
        <w:tc>
          <w:tcPr>
            <w:tcW w:w="918" w:type="dxa"/>
          </w:tcPr>
          <w:p w:rsidR="009520A9" w:rsidRDefault="00770482">
            <w:pPr>
              <w:jc w:val="center"/>
            </w:pPr>
            <w:r>
              <w:t>%</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n/p</w:t>
            </w:r>
          </w:p>
        </w:tc>
        <w:tc>
          <w:tcPr>
            <w:tcW w:w="918" w:type="dxa"/>
          </w:tcPr>
          <w:p w:rsidR="009520A9" w:rsidRDefault="00770482">
            <w:pPr>
              <w:jc w:val="center"/>
            </w:pPr>
            <w:r>
              <w:t>n/p</w:t>
            </w:r>
          </w:p>
        </w:tc>
        <w:tc>
          <w:tcPr>
            <w:tcW w:w="918" w:type="dxa"/>
          </w:tcPr>
          <w:p w:rsidR="009520A9" w:rsidRDefault="00770482">
            <w:pPr>
              <w:jc w:val="center"/>
            </w:pPr>
            <w:r>
              <w:t>90</w:t>
            </w:r>
          </w:p>
        </w:tc>
      </w:tr>
      <w:tr w:rsidR="009520A9">
        <w:trPr>
          <w:jc w:val="center"/>
        </w:trPr>
        <w:tc>
          <w:tcPr>
            <w:tcW w:w="2245" w:type="dxa"/>
            <w:vAlign w:val="top"/>
          </w:tcPr>
          <w:p w:rsidR="009520A9" w:rsidRDefault="00770482">
            <w:pPr>
              <w:pStyle w:val="CellColumn"/>
              <w:jc w:val="left"/>
            </w:pPr>
            <w:r>
              <w:rPr>
                <w:rFonts w:cs="Times New Roman"/>
              </w:rPr>
              <w:t>RRFCI07 Korisnici novih i poboljšanih javnih digitalnih usluga, proizvoda i procesa</w:t>
            </w:r>
          </w:p>
        </w:tc>
        <w:tc>
          <w:tcPr>
            <w:tcW w:w="2245" w:type="dxa"/>
            <w:vAlign w:val="top"/>
          </w:tcPr>
          <w:p w:rsidR="009520A9" w:rsidRDefault="00770482">
            <w:pPr>
              <w:pStyle w:val="CellColumn"/>
              <w:jc w:val="left"/>
            </w:pPr>
            <w:r>
              <w:rPr>
                <w:rFonts w:cs="Times New Roman"/>
              </w:rPr>
              <w:t>Pokazatelj uzima  u obzir broj korisnika digitalnih javnih usluga, proizvoda i procesa koji su nedavno razvijeni ili znatno poboljšani zahvaljujući mjerama potpore u okviru</w:t>
            </w:r>
            <w:r>
              <w:rPr>
                <w:rFonts w:cs="Times New Roman"/>
              </w:rPr>
              <w:t xml:space="preserve"> Mehanizma. Projektnom aktivnošću čiji je nositelj partnerska organizacija Srce, predviđena je izgradnja i uspostavljanje Informacijskog sustava evidencija u visokom obrazovanju (ISeVO). Glavni korisnici ISeVO-a bit će MZO i AZVO koji u kontekstu ovog poka</w:t>
            </w:r>
            <w:r>
              <w:rPr>
                <w:rFonts w:cs="Times New Roman"/>
              </w:rPr>
              <w:t>zatelja predstavljaju 2 korisnika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n/p</w:t>
            </w:r>
          </w:p>
        </w:tc>
        <w:tc>
          <w:tcPr>
            <w:tcW w:w="918" w:type="dxa"/>
          </w:tcPr>
          <w:p w:rsidR="009520A9" w:rsidRDefault="00770482">
            <w:pPr>
              <w:jc w:val="center"/>
            </w:pPr>
            <w:r>
              <w:t>n/p</w:t>
            </w:r>
          </w:p>
        </w:tc>
        <w:tc>
          <w:tcPr>
            <w:tcW w:w="918" w:type="dxa"/>
          </w:tcPr>
          <w:p w:rsidR="009520A9" w:rsidRDefault="00770482">
            <w:pPr>
              <w:jc w:val="center"/>
            </w:pPr>
            <w:r>
              <w:t>2</w:t>
            </w:r>
          </w:p>
        </w:tc>
      </w:tr>
    </w:tbl>
    <w:p w:rsidR="009520A9" w:rsidRDefault="009520A9">
      <w:pPr>
        <w:jc w:val="left"/>
      </w:pPr>
    </w:p>
    <w:p w:rsidR="009520A9" w:rsidRDefault="00770482">
      <w:pPr>
        <w:pStyle w:val="Heading4"/>
      </w:pPr>
      <w:r>
        <w:t>K628095 HRVATSKA KVANTNA KOMUNIKACIJSKA INFRASTRUKTURA - CRO QCI - NPOO (C3.2.R2-I2)</w:t>
      </w:r>
    </w:p>
    <w:p w:rsidR="009520A9" w:rsidRDefault="00770482">
      <w:pPr>
        <w:pStyle w:val="Heading8"/>
        <w:jc w:val="left"/>
      </w:pPr>
      <w:r>
        <w:t>Zakonske i druge pravne osnove</w:t>
      </w:r>
    </w:p>
    <w:p w:rsidR="009520A9" w:rsidRDefault="00770482">
      <w:r>
        <w:t>·</w:t>
      </w:r>
      <w:r>
        <w:tab/>
        <w:t>Ugovor o dodjeli bespovratnih sredstava 101091513 sklopljen između Europske ko</w:t>
      </w:r>
      <w:r>
        <w:t xml:space="preserve">misije i Hrvatske akademske i istraživačke mreže – CARNET </w:t>
      </w:r>
    </w:p>
    <w:p w:rsidR="009520A9" w:rsidRDefault="00770482">
      <w:r>
        <w:t>·</w:t>
      </w:r>
      <w:r>
        <w:tab/>
        <w:t>Odluka o financiranju projektnog prijedloga unutar Poziva „Hrvatska kvantna komunikacijska infrastruktura – CroQCI“, NPOO.C3.2.R2-I2.01</w:t>
      </w:r>
    </w:p>
    <w:tbl>
      <w:tblPr>
        <w:tblStyle w:val="StilTablice"/>
        <w:tblW w:w="10206" w:type="dxa"/>
        <w:jc w:val="center"/>
        <w:tblLook w:val="04A0" w:firstRow="1" w:lastRow="0" w:firstColumn="1" w:lastColumn="0" w:noHBand="0" w:noVBand="1"/>
      </w:tblPr>
      <w:tblGrid>
        <w:gridCol w:w="1468"/>
        <w:gridCol w:w="1555"/>
        <w:gridCol w:w="1562"/>
        <w:gridCol w:w="1562"/>
        <w:gridCol w:w="1562"/>
        <w:gridCol w:w="1527"/>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K628095</w:t>
            </w:r>
          </w:p>
        </w:tc>
        <w:tc>
          <w:tcPr>
            <w:tcW w:w="1632" w:type="dxa"/>
            <w:vAlign w:val="top"/>
          </w:tcPr>
          <w:p w:rsidR="009520A9" w:rsidRDefault="00770482">
            <w:pPr>
              <w:jc w:val="right"/>
            </w:pPr>
            <w:r>
              <w:t>00</w:t>
            </w:r>
          </w:p>
        </w:tc>
        <w:tc>
          <w:tcPr>
            <w:tcW w:w="1632" w:type="dxa"/>
            <w:vAlign w:val="top"/>
          </w:tcPr>
          <w:p w:rsidR="009520A9" w:rsidRDefault="00770482">
            <w:pPr>
              <w:jc w:val="right"/>
            </w:pPr>
            <w:r>
              <w:t>5.827.927</w:t>
            </w:r>
          </w:p>
        </w:tc>
        <w:tc>
          <w:tcPr>
            <w:tcW w:w="1632" w:type="dxa"/>
            <w:vAlign w:val="top"/>
          </w:tcPr>
          <w:p w:rsidR="009520A9" w:rsidRDefault="00770482">
            <w:pPr>
              <w:jc w:val="right"/>
            </w:pPr>
            <w:r>
              <w:t>2.884.360</w:t>
            </w:r>
          </w:p>
        </w:tc>
        <w:tc>
          <w:tcPr>
            <w:tcW w:w="1632" w:type="dxa"/>
            <w:vAlign w:val="top"/>
          </w:tcPr>
          <w:p w:rsidR="009520A9" w:rsidRDefault="00770482">
            <w:pPr>
              <w:jc w:val="right"/>
            </w:pPr>
            <w:r>
              <w:t>1.046.460</w:t>
            </w:r>
          </w:p>
        </w:tc>
        <w:tc>
          <w:tcPr>
            <w:tcW w:w="1632" w:type="dxa"/>
            <w:vAlign w:val="top"/>
          </w:tcPr>
          <w:p w:rsidR="009520A9" w:rsidRDefault="00770482">
            <w:pPr>
              <w:jc w:val="right"/>
            </w:pPr>
            <w:r>
              <w:t>00</w:t>
            </w:r>
          </w:p>
        </w:tc>
        <w:tc>
          <w:tcPr>
            <w:tcW w:w="510" w:type="dxa"/>
            <w:vAlign w:val="top"/>
          </w:tcPr>
          <w:p w:rsidR="009520A9" w:rsidRDefault="00770482">
            <w:pPr>
              <w:jc w:val="right"/>
            </w:pPr>
            <w:r>
              <w:t>49,5</w:t>
            </w:r>
          </w:p>
        </w:tc>
      </w:tr>
    </w:tbl>
    <w:p w:rsidR="009520A9" w:rsidRDefault="009520A9">
      <w:pPr>
        <w:jc w:val="left"/>
      </w:pPr>
    </w:p>
    <w:p w:rsidR="009520A9" w:rsidRDefault="00770482">
      <w:r>
        <w:t xml:space="preserve">Republika Hrvatska prepoznala je važnost inicijative Europske kvantne komunikacijske infrastrukture (EuroQCI) te je 2019. godine potpisala Deklaraciju o europskoj kvantnoj komunikacijskoj infrastrukturi čime se obvezala na provedbu aktivnosti na izgradnji </w:t>
      </w:r>
      <w:r>
        <w:t>kvantne komunikacijske infrastrukture za ultra-siguran prijenos informacija i podataka unutar Republike Hrvatske, ali i povezivanje komunikacijskih sredstava u Hrvatskoj s onima diljem Europske unije. Kao prvi korak na tom putu formiran je CroQCI konzorcij</w:t>
      </w:r>
      <w:r>
        <w:t xml:space="preserve"> s ciljem pripreme, prijave i provedbe projekta CroQCI. </w:t>
      </w:r>
    </w:p>
    <w:p w:rsidR="009520A9" w:rsidRDefault="00770482">
      <w:r>
        <w:t>Cilj projekta CroQCI je implementacija eksperimentalnih kvantnih komunikacijskih sustava i mreže, nadopunjenih i integriranih s rasponom klasičnih sigurnih komunikacijskih tehnologija. To uključuje i</w:t>
      </w:r>
      <w:r>
        <w:t>zgradnju i testiranje uređaja i sustava koji kombiniraju najbolje od kvantnih, postkvantnih klasičnih i kvantno poboljšanih rješenja. CroQCI će osigurati arhitekturu mreže i projektnih slučajeva uporabe koji će omogućiti integraciju zemaljske infrastruktur</w:t>
      </w:r>
      <w:r>
        <w:t xml:space="preserve">e s budućom svemirskom komponentom u potpuno funkcionalnu kvantnu komunikacijsku mrežu. Prijenos znanja između istraživačke zajednice i partnerskih institucija rezultirat će inženjerima i tehničarima osposobljenim za primjenu novih kvantnih tehnologija. </w:t>
      </w:r>
    </w:p>
    <w:p w:rsidR="009520A9" w:rsidRDefault="00770482">
      <w:r>
        <w:t>P</w:t>
      </w:r>
      <w:r>
        <w:t>rojekt se financira kroz program Digitalna Europa te kroz investiciju C3.2.R.2-I2 Nacionalnog plana oporavka i otpornosti 2021.-2026., a provodi se od 1. siječnja 2023. do 30 lipnja 2025. godine.</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w:t>
            </w:r>
            <w:r>
              <w:rPr>
                <w:rFonts w:cs="Times New Roman"/>
              </w:rPr>
              <w:t>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Implementiran eksperimentalni kvantni komunikacijski sustav/mreža</w:t>
            </w:r>
          </w:p>
        </w:tc>
        <w:tc>
          <w:tcPr>
            <w:tcW w:w="2245" w:type="dxa"/>
            <w:vAlign w:val="top"/>
          </w:tcPr>
          <w:p w:rsidR="009520A9" w:rsidRDefault="00770482">
            <w:pPr>
              <w:pStyle w:val="CellColumn"/>
              <w:jc w:val="left"/>
            </w:pPr>
            <w:r>
              <w:rPr>
                <w:rFonts w:cs="Times New Roman"/>
              </w:rPr>
              <w:t>Do sredine 2025., razviti i implementirati eksperimentalni kvantni komunikacijski sustav/mreže temeljeni na novim i komplementarnim klasičnim sigurnim komunikacijskim tehnologijama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0</w:t>
            </w:r>
          </w:p>
        </w:tc>
        <w:tc>
          <w:tcPr>
            <w:tcW w:w="918" w:type="dxa"/>
          </w:tcPr>
          <w:p w:rsidR="009520A9" w:rsidRDefault="00770482">
            <w:pPr>
              <w:jc w:val="center"/>
            </w:pPr>
            <w:r>
              <w:t>1</w:t>
            </w:r>
          </w:p>
        </w:tc>
        <w:tc>
          <w:tcPr>
            <w:tcW w:w="918" w:type="dxa"/>
          </w:tcPr>
          <w:p w:rsidR="009520A9" w:rsidRDefault="00770482">
            <w:pPr>
              <w:jc w:val="center"/>
            </w:pPr>
            <w:r>
              <w:t>n/p</w:t>
            </w:r>
          </w:p>
        </w:tc>
      </w:tr>
    </w:tbl>
    <w:p w:rsidR="009520A9" w:rsidRDefault="009520A9">
      <w:pPr>
        <w:jc w:val="left"/>
      </w:pPr>
    </w:p>
    <w:p w:rsidR="009520A9" w:rsidRDefault="00770482">
      <w:pPr>
        <w:pStyle w:val="Heading4"/>
      </w:pPr>
      <w:r>
        <w:t>K628100 PROGRAM UČINKOVITI LJUDSKI POTENCIJALI 2021.-2027., PRIORITET 2</w:t>
      </w:r>
    </w:p>
    <w:p w:rsidR="009520A9" w:rsidRDefault="00770482">
      <w:pPr>
        <w:pStyle w:val="Heading8"/>
        <w:jc w:val="left"/>
      </w:pPr>
      <w:r>
        <w:t>Zakonske i druge pravne osnove</w:t>
      </w:r>
    </w:p>
    <w:p w:rsidR="009520A9" w:rsidRDefault="00770482">
      <w:r>
        <w:t>•</w:t>
      </w:r>
      <w:r>
        <w:tab/>
        <w:t>Sporazum o pravima i obvezama vezanim uz upravljanje projektom “BrAIn” sklopljen između Ministarstva znanosti i obrazovanja i Hrvatske akademske i istr</w:t>
      </w:r>
      <w:r>
        <w:t xml:space="preserve">aživačke mreže - CARNET </w:t>
      </w:r>
    </w:p>
    <w:p w:rsidR="009520A9" w:rsidRDefault="00770482">
      <w:r>
        <w:t>•</w:t>
      </w:r>
      <w:r>
        <w:tab/>
        <w:t xml:space="preserve">Odluka o utvrđivanju unaprijed određenog prijavitelja za provedbu aktivnosti projekta "BrAIn", Specifičnog cilja ESO4.6., Programa "Učinkoviti ljudski potencijali 2021.-2027." </w:t>
      </w:r>
    </w:p>
    <w:p w:rsidR="009520A9" w:rsidRDefault="00770482">
      <w:r>
        <w:t>•</w:t>
      </w:r>
      <w:r>
        <w:tab/>
        <w:t>Sporazum o pravima i obvezama vezanim uz upravljan</w:t>
      </w:r>
      <w:r>
        <w:t xml:space="preserve">je projektom “Cjelovita informatizacija sustava odgoja i obrazovanja” sklopljen između Ministarstva znanosti i obrazovanja i Hrvatske akademske i istraživačke mreže - CARNET   </w:t>
      </w:r>
    </w:p>
    <w:p w:rsidR="009520A9" w:rsidRDefault="00770482">
      <w:r>
        <w:t>•</w:t>
      </w:r>
      <w:r>
        <w:tab/>
        <w:t xml:space="preserve">Odluka o utvrđivanju unaprijed određenog prijavitelja za provedbu aktivnosti </w:t>
      </w:r>
      <w:r>
        <w:t>projekta „Cjelovita informatizacija sustava odgoja i obrazovanja“, Specifičnog cilja ESO4.6., Programa „Učinkoviti ljudski potencijali 2021.-2027.“</w:t>
      </w:r>
    </w:p>
    <w:tbl>
      <w:tblPr>
        <w:tblStyle w:val="StilTablice"/>
        <w:tblW w:w="10206" w:type="dxa"/>
        <w:jc w:val="center"/>
        <w:tblLook w:val="04A0" w:firstRow="1" w:lastRow="0" w:firstColumn="1" w:lastColumn="0" w:noHBand="0" w:noVBand="1"/>
      </w:tblPr>
      <w:tblGrid>
        <w:gridCol w:w="1468"/>
        <w:gridCol w:w="1555"/>
        <w:gridCol w:w="1527"/>
        <w:gridCol w:w="1562"/>
        <w:gridCol w:w="1562"/>
        <w:gridCol w:w="1562"/>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K628100</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1632" w:type="dxa"/>
            <w:vAlign w:val="top"/>
          </w:tcPr>
          <w:p w:rsidR="009520A9" w:rsidRDefault="00770482">
            <w:pPr>
              <w:jc w:val="right"/>
            </w:pPr>
            <w:r>
              <w:t>4.018.364</w:t>
            </w:r>
          </w:p>
        </w:tc>
        <w:tc>
          <w:tcPr>
            <w:tcW w:w="1632" w:type="dxa"/>
            <w:vAlign w:val="top"/>
          </w:tcPr>
          <w:p w:rsidR="009520A9" w:rsidRDefault="00770482">
            <w:pPr>
              <w:jc w:val="right"/>
            </w:pPr>
            <w:r>
              <w:t>4.980.929</w:t>
            </w:r>
          </w:p>
        </w:tc>
        <w:tc>
          <w:tcPr>
            <w:tcW w:w="1632" w:type="dxa"/>
            <w:vAlign w:val="top"/>
          </w:tcPr>
          <w:p w:rsidR="009520A9" w:rsidRDefault="00770482">
            <w:pPr>
              <w:jc w:val="right"/>
            </w:pPr>
            <w:r>
              <w:t>4.392.152</w:t>
            </w:r>
          </w:p>
        </w:tc>
        <w:tc>
          <w:tcPr>
            <w:tcW w:w="510" w:type="dxa"/>
            <w:vAlign w:val="top"/>
          </w:tcPr>
          <w:p w:rsidR="009520A9" w:rsidRDefault="00770482">
            <w:pPr>
              <w:jc w:val="right"/>
            </w:pPr>
            <w:r>
              <w:t>0,0</w:t>
            </w:r>
          </w:p>
        </w:tc>
      </w:tr>
    </w:tbl>
    <w:p w:rsidR="009520A9" w:rsidRDefault="009520A9">
      <w:pPr>
        <w:jc w:val="left"/>
      </w:pPr>
    </w:p>
    <w:p w:rsidR="009520A9" w:rsidRDefault="00770482">
      <w:r>
        <w:t xml:space="preserve">K628100.001 Unaprjeđenje primjene digitalne tehnologije u pbrazovnom sustavu (BrAln) </w:t>
      </w:r>
    </w:p>
    <w:p w:rsidR="009520A9" w:rsidRDefault="00770482">
      <w:r>
        <w:t xml:space="preserve"> </w:t>
      </w:r>
    </w:p>
    <w:p w:rsidR="009520A9" w:rsidRDefault="00770482">
      <w:r>
        <w:t>Projekt je predviđen za financiranje u okviru Operativnog programa Učinkoviti ljudski potencijali 2021.-2027., Prioritetna os 2 Obr</w:t>
      </w:r>
      <w:r>
        <w:t xml:space="preserve">azovanje i cjeloživotno učenje.  </w:t>
      </w:r>
    </w:p>
    <w:p w:rsidR="009520A9" w:rsidRDefault="00770482">
      <w:r>
        <w:t>S ciljem primjene inovativnih metoda učenja i poučavanja, digitalnih tehnologija i alata u nastavnom i poslovnom procesu škola, razvijat će se digitalne kompetencije dionika odgojno-obrazovnog sustava. Pružit će se podrška</w:t>
      </w:r>
      <w:r>
        <w:t xml:space="preserve"> obrazovnim ustanovama u izradi obrazovnih materijala za učenje o digitalnim tehnologijama te osposobiti nastavnike za poučavanje o njima, kao i poticati inoviranje primjenom digitalnih tehnologija. Nadalje, razvit će se sustav pametnih preporuka koji će u</w:t>
      </w:r>
      <w:r>
        <w:t xml:space="preserve">čiteljima i učenicima omogućiti praćenje stjecanja znanja i vještina i proaktivno davati preporuke za poboljšanje samog procesa učenja i poučavanja. Razvoj sustava prati razvoj pametnih mreža, odnosno aktivnosti u području kibernetičke sigurnosti. </w:t>
      </w:r>
    </w:p>
    <w:p w:rsidR="009520A9" w:rsidRDefault="00770482">
      <w:r>
        <w:t xml:space="preserve"> </w:t>
      </w:r>
    </w:p>
    <w:p w:rsidR="009520A9" w:rsidRDefault="00770482">
      <w:r>
        <w:t>K6281</w:t>
      </w:r>
      <w:r>
        <w:t xml:space="preserve">00.002 Cjelovita informatizacija sustava odgoja i obrazovanja  (CISOO) </w:t>
      </w:r>
    </w:p>
    <w:p w:rsidR="009520A9" w:rsidRDefault="00770482">
      <w:r>
        <w:t xml:space="preserve"> </w:t>
      </w:r>
    </w:p>
    <w:p w:rsidR="009520A9" w:rsidRDefault="00770482">
      <w:r>
        <w:t>Projekt je predviđen za financiranje u okviru Operativnog programa Učinkoviti ljudski potencijali 2021.-2027., Prioritetna os 2 Obrazovanje i cjeloživotno učenje. Trajanje projekta j</w:t>
      </w:r>
      <w:r>
        <w:t xml:space="preserve">e šest (6) godina. </w:t>
      </w:r>
    </w:p>
    <w:p w:rsidR="009520A9" w:rsidRDefault="00770482">
      <w:r>
        <w:t xml:space="preserve"> </w:t>
      </w:r>
    </w:p>
    <w:p w:rsidR="009520A9" w:rsidRDefault="00770482">
      <w:r>
        <w:t>Cilj projekta je unaprjeđenje sustava praćenja funkcioniranja odgojno-obrazovnog sustava i korištenja dostupnih podataka u oblikovanju odgojno-obrazovnih politika putem razvoja i unaprjeđenja sustava elektroničkih usluga, upisnika i e</w:t>
      </w:r>
      <w:r>
        <w:t xml:space="preserve">videncija.   </w:t>
      </w:r>
    </w:p>
    <w:p w:rsidR="009520A9" w:rsidRDefault="00770482">
      <w:r>
        <w:t xml:space="preserve">  </w:t>
      </w:r>
    </w:p>
    <w:p w:rsidR="009520A9" w:rsidRDefault="00770482">
      <w:r>
        <w:t xml:space="preserve"> Kroz projekt se planiraju razviti nove te unaprijediti i povezati postojeće elektroničke usluge, upisnici i evidencije kroz cijelu vertikalu u sustavu odgoja i obrazovanja, unaprijediti i jačati kompetencije zaposlenih te pružiti podršku zaposlenima u sus</w:t>
      </w:r>
      <w:r>
        <w:t>tavu odgoja i obrazovanja za korištenje usluga koje su unaprijeđene ili novo razvijene u okviru operacije. Također, planirane su i odgovarajuće aktivnosti u vezi s vidljivošću i diseminacijom projekta.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Kurikulum izvannastavne aktivnosti i fakultativnog predmeta za razvoj digitalnih kompetencija učenika</w:t>
            </w:r>
          </w:p>
        </w:tc>
        <w:tc>
          <w:tcPr>
            <w:tcW w:w="2245" w:type="dxa"/>
            <w:vAlign w:val="top"/>
          </w:tcPr>
          <w:p w:rsidR="009520A9" w:rsidRDefault="00770482">
            <w:pPr>
              <w:pStyle w:val="CellColumn"/>
              <w:jc w:val="left"/>
            </w:pPr>
            <w:r>
              <w:rPr>
                <w:rFonts w:cs="Times New Roman"/>
              </w:rPr>
              <w:t>Izrađen kurikulum izvannastav</w:t>
            </w:r>
            <w:r>
              <w:rPr>
                <w:rFonts w:cs="Times New Roman"/>
              </w:rPr>
              <w:t>ne aktivnosti i fakultativnog predmeta za razvoj digitalnih kompetencija učenika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r w:rsidR="009520A9">
        <w:trPr>
          <w:jc w:val="center"/>
        </w:trPr>
        <w:tc>
          <w:tcPr>
            <w:tcW w:w="2245" w:type="dxa"/>
            <w:vAlign w:val="top"/>
          </w:tcPr>
          <w:p w:rsidR="009520A9" w:rsidRDefault="00770482">
            <w:pPr>
              <w:pStyle w:val="CellColumn"/>
              <w:jc w:val="left"/>
            </w:pPr>
            <w:r>
              <w:rPr>
                <w:rFonts w:cs="Times New Roman"/>
              </w:rPr>
              <w:t>Istraživanje učinka digitalnih tehnologija na učenike - pilot</w:t>
            </w:r>
          </w:p>
        </w:tc>
        <w:tc>
          <w:tcPr>
            <w:tcW w:w="2245" w:type="dxa"/>
            <w:vAlign w:val="top"/>
          </w:tcPr>
          <w:p w:rsidR="009520A9" w:rsidRDefault="00770482">
            <w:pPr>
              <w:pStyle w:val="CellColumn"/>
              <w:jc w:val="left"/>
            </w:pPr>
            <w:r>
              <w:rPr>
                <w:rFonts w:cs="Times New Roman"/>
              </w:rPr>
              <w:t>Provedeno pilot istraživanje učinka digitalnih tehnologija na učenike</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r w:rsidR="009520A9">
        <w:trPr>
          <w:jc w:val="center"/>
        </w:trPr>
        <w:tc>
          <w:tcPr>
            <w:tcW w:w="2245" w:type="dxa"/>
            <w:vAlign w:val="top"/>
          </w:tcPr>
          <w:p w:rsidR="009520A9" w:rsidRDefault="00770482">
            <w:pPr>
              <w:pStyle w:val="CellColumn"/>
              <w:jc w:val="left"/>
            </w:pPr>
            <w:r>
              <w:rPr>
                <w:rFonts w:cs="Times New Roman"/>
              </w:rPr>
              <w:t>Sustav pametnih preporuka za učenje i poučavanje</w:t>
            </w:r>
          </w:p>
        </w:tc>
        <w:tc>
          <w:tcPr>
            <w:tcW w:w="2245" w:type="dxa"/>
            <w:vAlign w:val="top"/>
          </w:tcPr>
          <w:p w:rsidR="009520A9" w:rsidRDefault="00770482">
            <w:pPr>
              <w:pStyle w:val="CellColumn"/>
              <w:jc w:val="left"/>
            </w:pPr>
            <w:r>
              <w:rPr>
                <w:rFonts w:cs="Times New Roman"/>
              </w:rPr>
              <w:t>Razvijen sustav pametnih preporuka za učenje i poučavanje</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0</w:t>
            </w:r>
          </w:p>
        </w:tc>
        <w:tc>
          <w:tcPr>
            <w:tcW w:w="918" w:type="dxa"/>
          </w:tcPr>
          <w:p w:rsidR="009520A9" w:rsidRDefault="00770482">
            <w:pPr>
              <w:jc w:val="center"/>
            </w:pPr>
            <w:r>
              <w:t>1</w:t>
            </w:r>
          </w:p>
        </w:tc>
        <w:tc>
          <w:tcPr>
            <w:tcW w:w="918" w:type="dxa"/>
          </w:tcPr>
          <w:p w:rsidR="009520A9" w:rsidRDefault="00770482">
            <w:pPr>
              <w:jc w:val="center"/>
            </w:pPr>
            <w:r>
              <w:t>1</w:t>
            </w:r>
          </w:p>
        </w:tc>
      </w:tr>
      <w:tr w:rsidR="009520A9">
        <w:trPr>
          <w:jc w:val="center"/>
        </w:trPr>
        <w:tc>
          <w:tcPr>
            <w:tcW w:w="2245" w:type="dxa"/>
            <w:vAlign w:val="top"/>
          </w:tcPr>
          <w:p w:rsidR="009520A9" w:rsidRDefault="00770482">
            <w:pPr>
              <w:pStyle w:val="CellColumn"/>
              <w:jc w:val="left"/>
            </w:pPr>
            <w:r>
              <w:rPr>
                <w:rFonts w:cs="Times New Roman"/>
              </w:rPr>
              <w:t>Unaprjeđene i razvijene usluge i upisnici</w:t>
            </w:r>
          </w:p>
        </w:tc>
        <w:tc>
          <w:tcPr>
            <w:tcW w:w="2245" w:type="dxa"/>
            <w:vAlign w:val="top"/>
          </w:tcPr>
          <w:p w:rsidR="009520A9" w:rsidRDefault="00770482">
            <w:pPr>
              <w:pStyle w:val="CellColumn"/>
              <w:jc w:val="left"/>
            </w:pPr>
            <w:r>
              <w:rPr>
                <w:rFonts w:cs="Times New Roman"/>
              </w:rPr>
              <w:t>Unaprijeđeno/razvijeno 11 usluga i upisnika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3</w:t>
            </w:r>
          </w:p>
        </w:tc>
        <w:tc>
          <w:tcPr>
            <w:tcW w:w="918" w:type="dxa"/>
          </w:tcPr>
          <w:p w:rsidR="009520A9" w:rsidRDefault="00770482">
            <w:pPr>
              <w:jc w:val="center"/>
            </w:pPr>
            <w:r>
              <w:t>2</w:t>
            </w:r>
          </w:p>
        </w:tc>
        <w:tc>
          <w:tcPr>
            <w:tcW w:w="918" w:type="dxa"/>
          </w:tcPr>
          <w:p w:rsidR="009520A9" w:rsidRDefault="00770482">
            <w:pPr>
              <w:jc w:val="center"/>
            </w:pPr>
            <w:r>
              <w:t>2</w:t>
            </w:r>
          </w:p>
        </w:tc>
      </w:tr>
      <w:tr w:rsidR="009520A9">
        <w:trPr>
          <w:jc w:val="center"/>
        </w:trPr>
        <w:tc>
          <w:tcPr>
            <w:tcW w:w="2245" w:type="dxa"/>
            <w:vAlign w:val="top"/>
          </w:tcPr>
          <w:p w:rsidR="009520A9" w:rsidRDefault="00770482">
            <w:pPr>
              <w:pStyle w:val="CellColumn"/>
              <w:jc w:val="left"/>
            </w:pPr>
            <w:r>
              <w:rPr>
                <w:rFonts w:cs="Times New Roman"/>
              </w:rPr>
              <w:t>Razvijena digitalna evidencija izdanih isprava</w:t>
            </w:r>
          </w:p>
        </w:tc>
        <w:tc>
          <w:tcPr>
            <w:tcW w:w="2245" w:type="dxa"/>
            <w:vAlign w:val="top"/>
          </w:tcPr>
          <w:p w:rsidR="009520A9" w:rsidRDefault="00770482">
            <w:pPr>
              <w:pStyle w:val="CellColumn"/>
              <w:jc w:val="left"/>
            </w:pPr>
            <w:r>
              <w:rPr>
                <w:rFonts w:cs="Times New Roman"/>
              </w:rPr>
              <w:t>Definirana arhitektura sustava za pohranu i unos podataka (1)</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Razvijena digitalna evidencija izdanih isprava</w:t>
            </w:r>
          </w:p>
        </w:tc>
        <w:tc>
          <w:tcPr>
            <w:tcW w:w="2245" w:type="dxa"/>
            <w:vAlign w:val="top"/>
          </w:tcPr>
          <w:p w:rsidR="009520A9" w:rsidRDefault="00770482">
            <w:pPr>
              <w:pStyle w:val="CellColumn"/>
              <w:jc w:val="left"/>
            </w:pPr>
            <w:r>
              <w:rPr>
                <w:rFonts w:cs="Times New Roman"/>
              </w:rPr>
              <w:t>Izrađena digitalna evidencija izdanih završnih isprava u obrazovanju (1)</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CARNET</w:t>
            </w:r>
          </w:p>
        </w:tc>
        <w:tc>
          <w:tcPr>
            <w:tcW w:w="918" w:type="dxa"/>
          </w:tcPr>
          <w:p w:rsidR="009520A9" w:rsidRDefault="00770482">
            <w:pPr>
              <w:jc w:val="center"/>
            </w:pPr>
            <w:r>
              <w:t>0</w:t>
            </w:r>
          </w:p>
        </w:tc>
        <w:tc>
          <w:tcPr>
            <w:tcW w:w="918" w:type="dxa"/>
          </w:tcPr>
          <w:p w:rsidR="009520A9" w:rsidRDefault="00770482">
            <w:pPr>
              <w:jc w:val="center"/>
            </w:pPr>
            <w:r>
              <w:t>0</w:t>
            </w:r>
          </w:p>
        </w:tc>
        <w:tc>
          <w:tcPr>
            <w:tcW w:w="918" w:type="dxa"/>
          </w:tcPr>
          <w:p w:rsidR="009520A9" w:rsidRDefault="00770482">
            <w:pPr>
              <w:jc w:val="center"/>
            </w:pPr>
            <w:r>
              <w:t>0</w:t>
            </w:r>
          </w:p>
        </w:tc>
      </w:tr>
    </w:tbl>
    <w:p w:rsidR="009520A9" w:rsidRDefault="009520A9">
      <w:pPr>
        <w:jc w:val="left"/>
      </w:pPr>
    </w:p>
    <w:p w:rsidR="009520A9" w:rsidRDefault="00770482">
      <w:pPr>
        <w:pStyle w:val="Heading2"/>
      </w:pPr>
      <w:r>
        <w:t>21869 Leksikografski zavod Miroslav Krleža</w:t>
      </w:r>
    </w:p>
    <w:p w:rsidR="009520A9" w:rsidRDefault="00770482">
      <w:r>
        <w:t>Leksikografski zavod "Miroslav Krleža" utemeljen je 05. listopada 1950. godine na poticaj književnika i erudita Miroslava Krleže. Hrvatski sabor donio je 29. svibnja 2003. godine. Zakon o Leksikogr</w:t>
      </w:r>
      <w:r>
        <w:t>afskom zavodu, kojim je regulirao njegov pravni status, djelatnost i ustrojstvo. Zavod je tada definiran kao javna ustanova osnovana od strane Republike Hrvatske i od njenog osobitog interesa. Leksikografski zavod je središnja hrvatska leksikografska ustan</w:t>
      </w:r>
      <w:r>
        <w:t>ova čija izdanja predstavljaju važan doprinos održavanju i podizanju hrvatskog intelektualnog standarda. Osnovna je djelatnost Zavoda leksikografska i enciklopedička, odnosno  prikupljanje, obrada i provjera podataka, koji se uz dodatna temeljna istraživan</w:t>
      </w:r>
      <w:r>
        <w:t>ja (radi razvijanja znanstveno-strukovne osnove) koriste kao baza podataka, za izradbu različitih edicija.</w:t>
      </w:r>
    </w:p>
    <w:tbl>
      <w:tblPr>
        <w:tblStyle w:val="StilTablice"/>
        <w:tblW w:w="10206" w:type="dxa"/>
        <w:jc w:val="center"/>
        <w:tblLook w:val="04A0" w:firstRow="1" w:lastRow="0" w:firstColumn="1" w:lastColumn="0" w:noHBand="0" w:noVBand="1"/>
      </w:tblPr>
      <w:tblGrid>
        <w:gridCol w:w="1437"/>
        <w:gridCol w:w="1559"/>
        <w:gridCol w:w="1560"/>
        <w:gridCol w:w="1560"/>
        <w:gridCol w:w="1560"/>
        <w:gridCol w:w="1560"/>
        <w:gridCol w:w="970"/>
      </w:tblGrid>
      <w:tr w:rsidR="009520A9">
        <w:trPr>
          <w:jc w:val="center"/>
        </w:trPr>
        <w:tc>
          <w:tcPr>
            <w:tcW w:w="1530" w:type="dxa"/>
            <w:shd w:val="clear" w:color="auto" w:fill="B5C0D8"/>
          </w:tcPr>
          <w:p w:rsidR="009520A9" w:rsidRDefault="009520A9">
            <w:pPr>
              <w:pStyle w:val="CellHeader"/>
              <w:jc w:val="center"/>
            </w:pP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tcPr>
          <w:p w:rsidR="009520A9" w:rsidRDefault="00770482">
            <w:pPr>
              <w:pStyle w:val="CellColumn"/>
              <w:jc w:val="left"/>
            </w:pPr>
            <w:r>
              <w:rPr>
                <w:rFonts w:cs="Times New Roman"/>
              </w:rPr>
              <w:t>21869</w:t>
            </w:r>
          </w:p>
        </w:tc>
        <w:tc>
          <w:tcPr>
            <w:tcW w:w="1632" w:type="dxa"/>
          </w:tcPr>
          <w:p w:rsidR="009520A9" w:rsidRDefault="00770482">
            <w:pPr>
              <w:jc w:val="right"/>
            </w:pPr>
            <w:r>
              <w:t>3.340.812</w:t>
            </w:r>
          </w:p>
        </w:tc>
        <w:tc>
          <w:tcPr>
            <w:tcW w:w="1632" w:type="dxa"/>
          </w:tcPr>
          <w:p w:rsidR="009520A9" w:rsidRDefault="00770482">
            <w:pPr>
              <w:jc w:val="right"/>
            </w:pPr>
            <w:r>
              <w:t>4.042.090</w:t>
            </w:r>
          </w:p>
        </w:tc>
        <w:tc>
          <w:tcPr>
            <w:tcW w:w="1632" w:type="dxa"/>
          </w:tcPr>
          <w:p w:rsidR="009520A9" w:rsidRDefault="00770482">
            <w:pPr>
              <w:jc w:val="right"/>
            </w:pPr>
            <w:r>
              <w:t>4.486.302</w:t>
            </w:r>
          </w:p>
        </w:tc>
        <w:tc>
          <w:tcPr>
            <w:tcW w:w="1632" w:type="dxa"/>
          </w:tcPr>
          <w:p w:rsidR="009520A9" w:rsidRDefault="00770482">
            <w:pPr>
              <w:jc w:val="right"/>
            </w:pPr>
            <w:r>
              <w:t>4.394.912</w:t>
            </w:r>
          </w:p>
        </w:tc>
        <w:tc>
          <w:tcPr>
            <w:tcW w:w="1632" w:type="dxa"/>
          </w:tcPr>
          <w:p w:rsidR="009520A9" w:rsidRDefault="00770482">
            <w:pPr>
              <w:jc w:val="right"/>
            </w:pPr>
            <w:r>
              <w:t>4.392.001</w:t>
            </w:r>
          </w:p>
        </w:tc>
        <w:tc>
          <w:tcPr>
            <w:tcW w:w="510" w:type="dxa"/>
          </w:tcPr>
          <w:p w:rsidR="009520A9" w:rsidRDefault="00770482">
            <w:pPr>
              <w:jc w:val="right"/>
            </w:pPr>
            <w:r>
              <w:t>111,0</w:t>
            </w:r>
          </w:p>
        </w:tc>
      </w:tr>
    </w:tbl>
    <w:p w:rsidR="009520A9" w:rsidRDefault="009520A9">
      <w:pPr>
        <w:jc w:val="left"/>
      </w:pPr>
    </w:p>
    <w:p w:rsidR="009520A9" w:rsidRDefault="00770482">
      <w:pPr>
        <w:pStyle w:val="Heading3"/>
      </w:pPr>
      <w:r>
        <w:rPr>
          <w:rFonts w:cs="Times New Roman"/>
        </w:rPr>
        <w:t>3801 ULAGANJE U ZNANSTVENO ISTRAŽIVAČKU DJELATNOST</w:t>
      </w:r>
    </w:p>
    <w:tbl>
      <w:tblPr>
        <w:tblStyle w:val="StilTablice"/>
        <w:tblW w:w="10206" w:type="dxa"/>
        <w:jc w:val="center"/>
        <w:tblLook w:val="04A0" w:firstRow="1" w:lastRow="0" w:firstColumn="1" w:lastColumn="0" w:noHBand="0" w:noVBand="1"/>
      </w:tblPr>
      <w:tblGrid>
        <w:gridCol w:w="1431"/>
        <w:gridCol w:w="1561"/>
        <w:gridCol w:w="1561"/>
        <w:gridCol w:w="1561"/>
        <w:gridCol w:w="1561"/>
        <w:gridCol w:w="1561"/>
        <w:gridCol w:w="970"/>
      </w:tblGrid>
      <w:tr w:rsidR="009520A9">
        <w:trPr>
          <w:jc w:val="center"/>
        </w:trPr>
        <w:tc>
          <w:tcPr>
            <w:tcW w:w="1530" w:type="dxa"/>
            <w:shd w:val="clear" w:color="auto" w:fill="B5C0D8"/>
          </w:tcPr>
          <w:p w:rsidR="009520A9" w:rsidRDefault="009520A9">
            <w:pPr>
              <w:pStyle w:val="CellHeader"/>
            </w:pPr>
          </w:p>
        </w:tc>
        <w:tc>
          <w:tcPr>
            <w:tcW w:w="1632" w:type="dxa"/>
            <w:shd w:val="clear" w:color="auto" w:fill="B5C0D8"/>
          </w:tcPr>
          <w:p w:rsidR="009520A9" w:rsidRDefault="00770482">
            <w:pPr>
              <w:pStyle w:val="CellHeader"/>
            </w:pPr>
            <w:r>
              <w:rPr>
                <w:rFonts w:cs="Times New Roman"/>
              </w:rPr>
              <w:t>Izvršenje 2022.</w:t>
            </w:r>
          </w:p>
        </w:tc>
        <w:tc>
          <w:tcPr>
            <w:tcW w:w="1632" w:type="dxa"/>
            <w:shd w:val="clear" w:color="auto" w:fill="B5C0D8"/>
          </w:tcPr>
          <w:p w:rsidR="009520A9" w:rsidRDefault="00770482">
            <w:pPr>
              <w:pStyle w:val="CellHeader"/>
            </w:pPr>
            <w:r>
              <w:rPr>
                <w:rFonts w:cs="Times New Roman"/>
              </w:rPr>
              <w:t>Plan 2023.</w:t>
            </w:r>
          </w:p>
        </w:tc>
        <w:tc>
          <w:tcPr>
            <w:tcW w:w="1632" w:type="dxa"/>
            <w:shd w:val="clear" w:color="auto" w:fill="B5C0D8"/>
          </w:tcPr>
          <w:p w:rsidR="009520A9" w:rsidRDefault="00770482">
            <w:pPr>
              <w:pStyle w:val="CellHeader"/>
            </w:pPr>
            <w:r>
              <w:rPr>
                <w:rFonts w:cs="Times New Roman"/>
              </w:rPr>
              <w:t>Plan 2024.</w:t>
            </w:r>
          </w:p>
        </w:tc>
        <w:tc>
          <w:tcPr>
            <w:tcW w:w="1632" w:type="dxa"/>
            <w:shd w:val="clear" w:color="auto" w:fill="B5C0D8"/>
          </w:tcPr>
          <w:p w:rsidR="009520A9" w:rsidRDefault="00770482">
            <w:pPr>
              <w:pStyle w:val="CellHeader"/>
            </w:pPr>
            <w:r>
              <w:rPr>
                <w:rFonts w:cs="Times New Roman"/>
              </w:rPr>
              <w:t>Plan 2025.</w:t>
            </w:r>
          </w:p>
        </w:tc>
        <w:tc>
          <w:tcPr>
            <w:tcW w:w="1632" w:type="dxa"/>
            <w:shd w:val="clear" w:color="auto" w:fill="B5C0D8"/>
          </w:tcPr>
          <w:p w:rsidR="009520A9" w:rsidRDefault="00770482">
            <w:pPr>
              <w:pStyle w:val="CellHead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3801</w:t>
            </w:r>
          </w:p>
        </w:tc>
        <w:tc>
          <w:tcPr>
            <w:tcW w:w="1632" w:type="dxa"/>
            <w:vAlign w:val="top"/>
          </w:tcPr>
          <w:p w:rsidR="009520A9" w:rsidRDefault="00770482">
            <w:pPr>
              <w:jc w:val="right"/>
            </w:pPr>
            <w:r>
              <w:t>3.340.812</w:t>
            </w:r>
          </w:p>
        </w:tc>
        <w:tc>
          <w:tcPr>
            <w:tcW w:w="1632" w:type="dxa"/>
            <w:vAlign w:val="top"/>
          </w:tcPr>
          <w:p w:rsidR="009520A9" w:rsidRDefault="00770482">
            <w:pPr>
              <w:jc w:val="right"/>
            </w:pPr>
            <w:r>
              <w:t>4.042.090</w:t>
            </w:r>
          </w:p>
        </w:tc>
        <w:tc>
          <w:tcPr>
            <w:tcW w:w="1632" w:type="dxa"/>
            <w:vAlign w:val="top"/>
          </w:tcPr>
          <w:p w:rsidR="009520A9" w:rsidRDefault="00770482">
            <w:pPr>
              <w:jc w:val="right"/>
            </w:pPr>
            <w:r>
              <w:t>4.486.302</w:t>
            </w:r>
          </w:p>
        </w:tc>
        <w:tc>
          <w:tcPr>
            <w:tcW w:w="1632" w:type="dxa"/>
            <w:vAlign w:val="top"/>
          </w:tcPr>
          <w:p w:rsidR="009520A9" w:rsidRDefault="00770482">
            <w:pPr>
              <w:jc w:val="right"/>
            </w:pPr>
            <w:r>
              <w:t>4.394.912</w:t>
            </w:r>
          </w:p>
        </w:tc>
        <w:tc>
          <w:tcPr>
            <w:tcW w:w="1632" w:type="dxa"/>
            <w:vAlign w:val="top"/>
          </w:tcPr>
          <w:p w:rsidR="009520A9" w:rsidRDefault="00770482">
            <w:pPr>
              <w:jc w:val="right"/>
            </w:pPr>
            <w:r>
              <w:t>4.392.001</w:t>
            </w:r>
          </w:p>
        </w:tc>
        <w:tc>
          <w:tcPr>
            <w:tcW w:w="510" w:type="dxa"/>
            <w:vAlign w:val="top"/>
          </w:tcPr>
          <w:p w:rsidR="009520A9" w:rsidRDefault="00770482">
            <w:pPr>
              <w:jc w:val="right"/>
            </w:pPr>
            <w:r>
              <w:t>111,0</w:t>
            </w:r>
          </w:p>
        </w:tc>
      </w:tr>
    </w:tbl>
    <w:p w:rsidR="009520A9" w:rsidRDefault="009520A9">
      <w:pPr>
        <w:jc w:val="left"/>
      </w:pPr>
    </w:p>
    <w:p w:rsidR="009520A9" w:rsidRDefault="00770482">
      <w:pPr>
        <w:pStyle w:val="Heading8"/>
        <w:jc w:val="left"/>
      </w:pPr>
      <w:r>
        <w:t>Cilj 1. Unaprijediti povezanost i suradnju znanstvene i visokoobrazovne zajednice s inovativnim gospodarstvom i društvom u cjelini</w:t>
      </w:r>
    </w:p>
    <w:p w:rsidR="009520A9" w:rsidRDefault="0077048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učinka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Povećanje ulaganja u znanost i istraživanje kao udio u BDP-u</w:t>
            </w:r>
          </w:p>
        </w:tc>
        <w:tc>
          <w:tcPr>
            <w:tcW w:w="2245" w:type="dxa"/>
            <w:vAlign w:val="top"/>
          </w:tcPr>
          <w:p w:rsidR="009520A9" w:rsidRDefault="00770482">
            <w:pPr>
              <w:pStyle w:val="CellColumn"/>
              <w:jc w:val="left"/>
            </w:pPr>
            <w:r>
              <w:rPr>
                <w:rFonts w:cs="Times New Roman"/>
              </w:rPr>
              <w:t>Ukupno izdvajanja za znanost i istraživanje kao udjela u BDP-u</w:t>
            </w:r>
          </w:p>
        </w:tc>
        <w:tc>
          <w:tcPr>
            <w:tcW w:w="918" w:type="dxa"/>
          </w:tcPr>
          <w:p w:rsidR="009520A9" w:rsidRDefault="00770482">
            <w:pPr>
              <w:jc w:val="center"/>
            </w:pPr>
            <w:r>
              <w:t>Postotak</w:t>
            </w:r>
          </w:p>
        </w:tc>
        <w:tc>
          <w:tcPr>
            <w:tcW w:w="918" w:type="dxa"/>
          </w:tcPr>
          <w:p w:rsidR="009520A9" w:rsidRDefault="00770482">
            <w:pPr>
              <w:jc w:val="center"/>
            </w:pPr>
            <w:r>
              <w:t>1,43</w:t>
            </w:r>
          </w:p>
        </w:tc>
        <w:tc>
          <w:tcPr>
            <w:tcW w:w="918" w:type="dxa"/>
          </w:tcPr>
          <w:p w:rsidR="009520A9" w:rsidRDefault="00770482">
            <w:pPr>
              <w:pStyle w:val="CellColumn"/>
              <w:jc w:val="center"/>
            </w:pPr>
            <w:r>
              <w:rPr>
                <w:rFonts w:cs="Times New Roman"/>
              </w:rPr>
              <w:t>DZS</w:t>
            </w:r>
          </w:p>
        </w:tc>
        <w:tc>
          <w:tcPr>
            <w:tcW w:w="918" w:type="dxa"/>
          </w:tcPr>
          <w:p w:rsidR="009520A9" w:rsidRDefault="00770482">
            <w:pPr>
              <w:jc w:val="center"/>
            </w:pPr>
            <w:r>
              <w:t>1,6</w:t>
            </w:r>
          </w:p>
        </w:tc>
        <w:tc>
          <w:tcPr>
            <w:tcW w:w="918" w:type="dxa"/>
          </w:tcPr>
          <w:p w:rsidR="009520A9" w:rsidRDefault="00770482">
            <w:pPr>
              <w:jc w:val="center"/>
            </w:pPr>
            <w:r>
              <w:t>2,0</w:t>
            </w:r>
          </w:p>
        </w:tc>
        <w:tc>
          <w:tcPr>
            <w:tcW w:w="918" w:type="dxa"/>
          </w:tcPr>
          <w:p w:rsidR="009520A9" w:rsidRDefault="00770482">
            <w:pPr>
              <w:jc w:val="center"/>
            </w:pPr>
            <w:r>
              <w:t>2,5</w:t>
            </w:r>
          </w:p>
        </w:tc>
      </w:tr>
    </w:tbl>
    <w:p w:rsidR="009520A9" w:rsidRDefault="009520A9">
      <w:pPr>
        <w:jc w:val="left"/>
      </w:pPr>
    </w:p>
    <w:p w:rsidR="009520A9" w:rsidRDefault="00770482">
      <w:pPr>
        <w:pStyle w:val="Heading4"/>
      </w:pPr>
      <w:r>
        <w:t>A622107 ADMINISTRACIJA I UPRAVLJANJE LEKSIKOGRAFSKOG ZAVODA MIROSLAV KRLEŽA</w:t>
      </w:r>
    </w:p>
    <w:p w:rsidR="009520A9" w:rsidRDefault="00770482">
      <w:pPr>
        <w:pStyle w:val="Heading8"/>
        <w:jc w:val="left"/>
      </w:pPr>
      <w:r>
        <w:t>Zakonske i druge pravne osnove</w:t>
      </w:r>
    </w:p>
    <w:p w:rsidR="009520A9" w:rsidRDefault="00770482">
      <w:r>
        <w:t>Zakon o Leksikografskom zavodu Miroslav Krleža, Uredba o nazivima radnih mjesta i koeficijentima složenosti poslova u javnim službama, Temeljni kolek</w:t>
      </w:r>
      <w:r>
        <w:t>tivni ugovor za službenike i namještenike u javnim službama, Kolektivni ugovor za znanost i visoko obrazovanje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A622107</w:t>
            </w:r>
          </w:p>
        </w:tc>
        <w:tc>
          <w:tcPr>
            <w:tcW w:w="1632" w:type="dxa"/>
            <w:vAlign w:val="top"/>
          </w:tcPr>
          <w:p w:rsidR="009520A9" w:rsidRDefault="00770482">
            <w:pPr>
              <w:jc w:val="right"/>
            </w:pPr>
            <w:r>
              <w:t>2.845.346</w:t>
            </w:r>
          </w:p>
        </w:tc>
        <w:tc>
          <w:tcPr>
            <w:tcW w:w="1632" w:type="dxa"/>
            <w:vAlign w:val="top"/>
          </w:tcPr>
          <w:p w:rsidR="009520A9" w:rsidRDefault="00770482">
            <w:pPr>
              <w:jc w:val="right"/>
            </w:pPr>
            <w:r>
              <w:t>3.463.535</w:t>
            </w:r>
          </w:p>
        </w:tc>
        <w:tc>
          <w:tcPr>
            <w:tcW w:w="1632" w:type="dxa"/>
            <w:vAlign w:val="top"/>
          </w:tcPr>
          <w:p w:rsidR="009520A9" w:rsidRDefault="00770482">
            <w:pPr>
              <w:jc w:val="right"/>
            </w:pPr>
            <w:r>
              <w:t>3.872.732</w:t>
            </w:r>
          </w:p>
        </w:tc>
        <w:tc>
          <w:tcPr>
            <w:tcW w:w="1632" w:type="dxa"/>
            <w:vAlign w:val="top"/>
          </w:tcPr>
          <w:p w:rsidR="009520A9" w:rsidRDefault="00770482">
            <w:pPr>
              <w:jc w:val="right"/>
            </w:pPr>
            <w:r>
              <w:t>3.885.925</w:t>
            </w:r>
          </w:p>
        </w:tc>
        <w:tc>
          <w:tcPr>
            <w:tcW w:w="1632" w:type="dxa"/>
            <w:vAlign w:val="top"/>
          </w:tcPr>
          <w:p w:rsidR="009520A9" w:rsidRDefault="00770482">
            <w:pPr>
              <w:jc w:val="right"/>
            </w:pPr>
            <w:r>
              <w:t>3.888.041</w:t>
            </w:r>
          </w:p>
        </w:tc>
        <w:tc>
          <w:tcPr>
            <w:tcW w:w="510" w:type="dxa"/>
            <w:vAlign w:val="top"/>
          </w:tcPr>
          <w:p w:rsidR="009520A9" w:rsidRDefault="00770482">
            <w:pPr>
              <w:jc w:val="right"/>
            </w:pPr>
            <w:r>
              <w:t>111,8</w:t>
            </w:r>
          </w:p>
        </w:tc>
      </w:tr>
    </w:tbl>
    <w:p w:rsidR="009520A9" w:rsidRDefault="009520A9">
      <w:pPr>
        <w:jc w:val="left"/>
      </w:pPr>
    </w:p>
    <w:p w:rsidR="009520A9" w:rsidRDefault="00770482">
      <w:r>
        <w:t>Sredstvima s ove aktivnosti financiraju se plaće i ostali rashodi za 117 zaposlenika (materijalna prava te prijevoz na posao i s posla) Leksikografskog zavoda Miroslav Krleža u svrhu obavljanja osnovne leksikografske i enciklopedičke djel</w:t>
      </w:r>
      <w:r>
        <w:t>atnosti Zavoda.</w:t>
      </w:r>
    </w:p>
    <w:p w:rsidR="009520A9" w:rsidRDefault="00770482">
      <w:pPr>
        <w:pStyle w:val="Heading4"/>
      </w:pPr>
      <w:r>
        <w:t>A622136 ADMINISTRACIJA I UPRAVLJANJE LEKSIKOGRAFSKOG ZAVODA MIROSLAV KRLEŽA (IZ EVIDENCIJSKIH PRIHODA)</w:t>
      </w:r>
    </w:p>
    <w:p w:rsidR="009520A9" w:rsidRDefault="00770482">
      <w:pPr>
        <w:pStyle w:val="Heading8"/>
        <w:jc w:val="left"/>
      </w:pPr>
      <w:r>
        <w:t>Zakonske i druge pravne osnove</w:t>
      </w:r>
    </w:p>
    <w:p w:rsidR="009520A9" w:rsidRDefault="00770482">
      <w:r>
        <w:t>Zakon o proračunu; Zakon o izvršavanju Državnog proračuna Republike Hrvatske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A622136</w:t>
            </w:r>
          </w:p>
        </w:tc>
        <w:tc>
          <w:tcPr>
            <w:tcW w:w="1632" w:type="dxa"/>
            <w:vAlign w:val="top"/>
          </w:tcPr>
          <w:p w:rsidR="009520A9" w:rsidRDefault="00770482">
            <w:pPr>
              <w:jc w:val="right"/>
            </w:pPr>
            <w:r>
              <w:t>495.466</w:t>
            </w:r>
          </w:p>
        </w:tc>
        <w:tc>
          <w:tcPr>
            <w:tcW w:w="1632" w:type="dxa"/>
            <w:vAlign w:val="top"/>
          </w:tcPr>
          <w:p w:rsidR="009520A9" w:rsidRDefault="00770482">
            <w:pPr>
              <w:jc w:val="right"/>
            </w:pPr>
            <w:r>
              <w:t>566.361</w:t>
            </w:r>
          </w:p>
        </w:tc>
        <w:tc>
          <w:tcPr>
            <w:tcW w:w="1632" w:type="dxa"/>
            <w:vAlign w:val="top"/>
          </w:tcPr>
          <w:p w:rsidR="009520A9" w:rsidRDefault="00770482">
            <w:pPr>
              <w:jc w:val="right"/>
            </w:pPr>
            <w:r>
              <w:t>598.570</w:t>
            </w:r>
          </w:p>
        </w:tc>
        <w:tc>
          <w:tcPr>
            <w:tcW w:w="1632" w:type="dxa"/>
            <w:vAlign w:val="top"/>
          </w:tcPr>
          <w:p w:rsidR="009520A9" w:rsidRDefault="00770482">
            <w:pPr>
              <w:jc w:val="right"/>
            </w:pPr>
            <w:r>
              <w:t>503.987</w:t>
            </w:r>
          </w:p>
        </w:tc>
        <w:tc>
          <w:tcPr>
            <w:tcW w:w="1632" w:type="dxa"/>
            <w:vAlign w:val="top"/>
          </w:tcPr>
          <w:p w:rsidR="009520A9" w:rsidRDefault="00770482">
            <w:pPr>
              <w:jc w:val="right"/>
            </w:pPr>
            <w:r>
              <w:t>498.960</w:t>
            </w:r>
          </w:p>
        </w:tc>
        <w:tc>
          <w:tcPr>
            <w:tcW w:w="510" w:type="dxa"/>
            <w:vAlign w:val="top"/>
          </w:tcPr>
          <w:p w:rsidR="009520A9" w:rsidRDefault="00770482">
            <w:pPr>
              <w:jc w:val="right"/>
            </w:pPr>
            <w:r>
              <w:t>105,7</w:t>
            </w:r>
          </w:p>
        </w:tc>
      </w:tr>
    </w:tbl>
    <w:p w:rsidR="009520A9" w:rsidRDefault="009520A9">
      <w:pPr>
        <w:jc w:val="left"/>
      </w:pPr>
    </w:p>
    <w:p w:rsidR="009520A9" w:rsidRDefault="00770482">
      <w:r>
        <w:t>Ova aktivnost sastoji se od rashoda za redovnu djelatnost koji se najvećim dijelom financiraju iz vlastitih prihoda Zavoda odnosno prihoda koje isto ostvaruje obavljanjem poslova na tržištu i u tržišnim uvjetima, a koje poslove mogu obavljati i drugi subje</w:t>
      </w:r>
      <w:r>
        <w:t xml:space="preserve">kti izvan općeg proračuna, primjerice iznajmljivanje prostora, prodaja knjiga i sl. Rashodi u okviru ove aktivnosti se financiraju iz vlastitih i namjenskih prihoda koji su izuzeti od uplate u proračun. Ostvarenje i trošenje vlastitih i namjenskih prihoda </w:t>
      </w:r>
      <w:r>
        <w:t xml:space="preserve">iskazuje se mjesečno u sustavu državne riznice temeljem dostavljenih podataka.  </w:t>
      </w:r>
    </w:p>
    <w:p w:rsidR="009520A9" w:rsidRDefault="00770482">
      <w:r>
        <w:t xml:space="preserve">Za financiranje redovne djelatnosti iz vlastitih i namjenskih izvora financiranja u 2023. planirana su sredstva u iznosu od  456.492 EUR za rashode za zaposlene i materijalne </w:t>
      </w:r>
      <w:r>
        <w:t xml:space="preserve">rashode. </w:t>
      </w:r>
    </w:p>
    <w:p w:rsidR="009520A9" w:rsidRDefault="00770482">
      <w:r>
        <w:t xml:space="preserve">Za financiranje redovne djelatnosti iz vlastitih i namjenskih izvora financiranja u 2024. planirana su sredstva u iznosu od  435.302 EUR za rashode za zaposlene i materijalne rashode. </w:t>
      </w:r>
    </w:p>
    <w:p w:rsidR="009520A9" w:rsidRDefault="00770482">
      <w:r>
        <w:t>Za financiranje redovne djelatnosti iz vlastitih i namjenskih</w:t>
      </w:r>
      <w:r>
        <w:t xml:space="preserve"> izvora financiranja u 2023. planirana su sredstva u iznosu od  426.011 EUR za rashode za zaposlene i materijalne rashode.</w:t>
      </w:r>
    </w:p>
    <w:p w:rsidR="009520A9" w:rsidRDefault="00770482">
      <w:pPr>
        <w:pStyle w:val="Heading4"/>
      </w:pPr>
      <w:r>
        <w:t>A622146 PRAVOMOĆNE SUDSKE PRESUDE</w:t>
      </w:r>
    </w:p>
    <w:p w:rsidR="009520A9" w:rsidRDefault="00770482">
      <w:pPr>
        <w:pStyle w:val="Heading8"/>
        <w:jc w:val="left"/>
      </w:pPr>
      <w:r>
        <w:t>Zakonske i druge pravne osnove</w:t>
      </w:r>
    </w:p>
    <w:p w:rsidR="009520A9" w:rsidRDefault="00770482">
      <w:r>
        <w:t>Zakon o visokom obrazovanju i znanstvenoj djelatnosti, Uredba o nazi</w:t>
      </w:r>
      <w:r>
        <w:t>vima radnih mjesta i koeficijentima složenosti poslova u javnim službama, Temeljni kolektivni ugovor za službenike i namještenike u javnim službama, Kolektivni ugovor za znanost i visoko obrazovanje</w:t>
      </w:r>
    </w:p>
    <w:tbl>
      <w:tblPr>
        <w:tblStyle w:val="StilTablice"/>
        <w:tblW w:w="10206" w:type="dxa"/>
        <w:jc w:val="center"/>
        <w:tblLook w:val="04A0" w:firstRow="1" w:lastRow="0" w:firstColumn="1" w:lastColumn="0" w:noHBand="0" w:noVBand="1"/>
      </w:tblPr>
      <w:tblGrid>
        <w:gridCol w:w="1477"/>
        <w:gridCol w:w="1567"/>
        <w:gridCol w:w="1552"/>
        <w:gridCol w:w="1552"/>
        <w:gridCol w:w="1544"/>
        <w:gridCol w:w="1544"/>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w:t>
            </w:r>
            <w:r>
              <w:rPr>
                <w:rFonts w:cs="Times New Roman"/>
              </w:rPr>
              <w:t>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A622146</w:t>
            </w:r>
          </w:p>
        </w:tc>
        <w:tc>
          <w:tcPr>
            <w:tcW w:w="1632" w:type="dxa"/>
            <w:vAlign w:val="top"/>
          </w:tcPr>
          <w:p w:rsidR="009520A9" w:rsidRDefault="00770482">
            <w:pPr>
              <w:jc w:val="right"/>
            </w:pPr>
            <w:r>
              <w:t>00</w:t>
            </w:r>
          </w:p>
        </w:tc>
        <w:tc>
          <w:tcPr>
            <w:tcW w:w="1632" w:type="dxa"/>
            <w:vAlign w:val="top"/>
          </w:tcPr>
          <w:p w:rsidR="009520A9" w:rsidRDefault="00770482">
            <w:pPr>
              <w:jc w:val="right"/>
            </w:pPr>
            <w:r>
              <w:t>12.194</w:t>
            </w:r>
          </w:p>
        </w:tc>
        <w:tc>
          <w:tcPr>
            <w:tcW w:w="1632" w:type="dxa"/>
            <w:vAlign w:val="top"/>
          </w:tcPr>
          <w:p w:rsidR="009520A9" w:rsidRDefault="00770482">
            <w:pPr>
              <w:jc w:val="right"/>
            </w:pPr>
            <w:r>
              <w:t>15.000</w:t>
            </w:r>
          </w:p>
        </w:tc>
        <w:tc>
          <w:tcPr>
            <w:tcW w:w="1632" w:type="dxa"/>
            <w:vAlign w:val="top"/>
          </w:tcPr>
          <w:p w:rsidR="009520A9" w:rsidRDefault="00770482">
            <w:pPr>
              <w:jc w:val="right"/>
            </w:pPr>
            <w:r>
              <w:t>5.000</w:t>
            </w:r>
          </w:p>
        </w:tc>
        <w:tc>
          <w:tcPr>
            <w:tcW w:w="1632" w:type="dxa"/>
            <w:vAlign w:val="top"/>
          </w:tcPr>
          <w:p w:rsidR="009520A9" w:rsidRDefault="00770482">
            <w:pPr>
              <w:jc w:val="right"/>
            </w:pPr>
            <w:r>
              <w:t>5.000</w:t>
            </w:r>
          </w:p>
        </w:tc>
        <w:tc>
          <w:tcPr>
            <w:tcW w:w="510" w:type="dxa"/>
            <w:vAlign w:val="top"/>
          </w:tcPr>
          <w:p w:rsidR="009520A9" w:rsidRDefault="00770482">
            <w:pPr>
              <w:jc w:val="right"/>
            </w:pPr>
            <w:r>
              <w:t>123,0</w:t>
            </w:r>
          </w:p>
        </w:tc>
      </w:tr>
    </w:tbl>
    <w:p w:rsidR="009520A9" w:rsidRDefault="009520A9">
      <w:pPr>
        <w:jc w:val="left"/>
      </w:pPr>
    </w:p>
    <w:p w:rsidR="009520A9" w:rsidRDefault="00770482">
      <w:r>
        <w:t>Stavka na kojoj se osiguravaju sredstva za podmirenjem iznosa iz pravomoćnih presuda donesenih po tužbama zaposlenika Leksikografskog zavoda Miroslav Krleža, a radi isplate razlike plaće po povoljnijoj osnovici za razdoblje od prosinca 2015. do siječnja 20</w:t>
      </w:r>
      <w:r>
        <w:t>17. godine.</w:t>
      </w:r>
    </w:p>
    <w:p w:rsidR="009520A9" w:rsidRDefault="00770482">
      <w:pPr>
        <w:pStyle w:val="Heading2"/>
      </w:pPr>
      <w:r>
        <w:t>23665 Sveučilišni računski centar SRCE</w:t>
      </w:r>
    </w:p>
    <w:p w:rsidR="009520A9" w:rsidRDefault="00770482">
      <w:r>
        <w:t>Sveučilišni računski centar - Srce je središnja infrastrukturna ustanova koja za potrebe akademske i znanstvene zajednice u Republici Hrvatskoj planira, razvija i unapređuje e-infrastrukturu i digitalne us</w:t>
      </w:r>
      <w:r>
        <w:t xml:space="preserve">luge te pruža podršku u njihovom korištenju. Srce kroz svoje djelovanje omogućava i potiče integraciju Hrvatske u Europski istraživački prostor (European Research Area − ERA) i Europski prostor visokog obrazovanja (European Higher Education Area − EHEA). </w:t>
      </w:r>
    </w:p>
    <w:p w:rsidR="009520A9" w:rsidRDefault="00770482">
      <w:r>
        <w:t>Srce pruža zajednici širok raspon digitalnih usluga i resursa pri čemu valja naglasiti značajan broj nacionalnih sustava s više stotina tisuća krajnjih korisnika. Korisnici usluga Srca su hrvatska visoka učilišta i znanstveni instituti te njihovi zaposleni</w:t>
      </w:r>
      <w:r>
        <w:t xml:space="preserve">ci – nastavnici i znanstvenici, nenastavno osoblje, IT-stručnjaci, te studenti i učenici. Dio usluga dostupan je i drugim ustanovama i svim građanima Republike Hrvatske.  </w:t>
      </w:r>
    </w:p>
    <w:p w:rsidR="009520A9" w:rsidRDefault="00770482">
      <w:r>
        <w:t xml:space="preserve">Usluge Srca (https://www.srce.unizg.hr/usluge) </w:t>
      </w:r>
    </w:p>
    <w:p w:rsidR="009520A9" w:rsidRDefault="00770482">
      <w:r>
        <w:t xml:space="preserve">Računalne i mrežne usluge  </w:t>
      </w:r>
    </w:p>
    <w:p w:rsidR="009520A9" w:rsidRDefault="00770482">
      <w:r>
        <w:t>•</w:t>
      </w:r>
      <w:r>
        <w:tab/>
        <w:t xml:space="preserve">VDC – Virtualni podatkovni centri je usluga koja omogućava formiranje virtualnih podatkovnih centara te uporabu virtualnih poslužitelja u skladu s aktualnim potrebama ustanova iz sustava znanosti i visokog obrazovanja. </w:t>
      </w:r>
    </w:p>
    <w:p w:rsidR="009520A9" w:rsidRDefault="00770482">
      <w:r>
        <w:t>•</w:t>
      </w:r>
      <w:r>
        <w:tab/>
        <w:t>Napredno računanje osigurava rač</w:t>
      </w:r>
      <w:r>
        <w:t>unalne sustave i okruženja za rješavanje resursno zahtjevnih izazova: superračunalo Supek i resurs za računanje u oblaku Vrančić. Također su dostupni računalni klaster Isabella, računalno okruženje HTC Cloud (High-Throughput Computing) i VCL (Virtual Compu</w:t>
      </w:r>
      <w:r>
        <w:t xml:space="preserve">ting Lab). </w:t>
      </w:r>
    </w:p>
    <w:p w:rsidR="009520A9" w:rsidRDefault="00770482">
      <w:r>
        <w:t>•</w:t>
      </w:r>
      <w:r>
        <w:tab/>
        <w:t xml:space="preserve">Savjetovanje i podrška razvoju kompetencija za računarstvo visokih performansi  osigurava pomoć u odabiru i pristupu HPC resursima te pružanje informacija o dostupnim tečajevima i radionicama. </w:t>
      </w:r>
    </w:p>
    <w:p w:rsidR="009520A9" w:rsidRDefault="00770482">
      <w:r>
        <w:t>•</w:t>
      </w:r>
      <w:r>
        <w:tab/>
        <w:t>eduroam® - roaming pristup mreži omogućava jed</w:t>
      </w:r>
      <w:r>
        <w:t xml:space="preserve">nostavan, siguran i unificiran pristup mreži putem pristupnih točaka u RH i u svijetu uporabom jedinstvenog elektroničkog identiteta. </w:t>
      </w:r>
    </w:p>
    <w:p w:rsidR="009520A9" w:rsidRDefault="00770482">
      <w:r>
        <w:t>•</w:t>
      </w:r>
      <w:r>
        <w:tab/>
        <w:t>CIX – nacionalno središte za razmjenu internetskog prometa osigurava razmjenu prometa putem mrežne infrastrukture CIX-a</w:t>
      </w:r>
      <w:r>
        <w:t xml:space="preserve"> te je važan za funkcioniranje interneta u RH. </w:t>
      </w:r>
    </w:p>
    <w:p w:rsidR="009520A9" w:rsidRDefault="00770482">
      <w:r>
        <w:t>•</w:t>
      </w:r>
      <w:r>
        <w:tab/>
        <w:t>Udomljavanje IKT opreme u podatkovnim centrima omogućava smještaj IKT opreme koja je značajna za rad Srca i neophodna za hrvatsku akademsku i znanstvenu zajednicu te općenito za hrvatske korisnike interneta</w:t>
      </w:r>
      <w:r>
        <w:t xml:space="preserve">. </w:t>
      </w:r>
    </w:p>
    <w:p w:rsidR="009520A9" w:rsidRDefault="00770482">
      <w:r>
        <w:t>•</w:t>
      </w:r>
      <w:r>
        <w:tab/>
        <w:t xml:space="preserve">ostale mrežne usluge  </w:t>
      </w:r>
    </w:p>
    <w:p w:rsidR="009520A9" w:rsidRDefault="00770482">
      <w:r>
        <w:t xml:space="preserve">Elektronički identiteti i sustavi povjerenja  </w:t>
      </w:r>
    </w:p>
    <w:p w:rsidR="009520A9" w:rsidRDefault="00770482">
      <w:r>
        <w:t>•</w:t>
      </w:r>
      <w:r>
        <w:tab/>
        <w:t>AAI@EduHr – Autentikacijska i autorizacijska infrastruktura sustava znanosti i visokog obrazovanja korisnicima omogućava jednostavno, sigurno i pouzdano korištenje online usluga u</w:t>
      </w:r>
      <w:r>
        <w:t xml:space="preserve"> sustavu AAI@EduHr uz pomoć jedinstvenog elektroničkog identiteta dobivenog na matičnoj ustanovi te pristup velikom broju usluga izvan granica RH putem globalnog sustava eduGAIN. </w:t>
      </w:r>
    </w:p>
    <w:p w:rsidR="009520A9" w:rsidRDefault="00770482">
      <w:r>
        <w:t xml:space="preserve"> </w:t>
      </w:r>
    </w:p>
    <w:p w:rsidR="009520A9" w:rsidRDefault="00770482">
      <w:r>
        <w:t xml:space="preserve"> </w:t>
      </w:r>
    </w:p>
    <w:p w:rsidR="009520A9" w:rsidRDefault="00770482">
      <w:r>
        <w:t xml:space="preserve">Podaci, repozitoriji i otvorena znanost  </w:t>
      </w:r>
    </w:p>
    <w:p w:rsidR="009520A9" w:rsidRDefault="00770482">
      <w:r>
        <w:t>•</w:t>
      </w:r>
      <w:r>
        <w:tab/>
        <w:t>Digitalni akademski arhivi i</w:t>
      </w:r>
      <w:r>
        <w:t xml:space="preserve"> repozitoriji Dabar omogućava jednostavnu uspostavu i održavanje pouzdanih i interoperabilnih institucijskih i tematskih repozitorija. </w:t>
      </w:r>
    </w:p>
    <w:p w:rsidR="009520A9" w:rsidRDefault="00770482">
      <w:r>
        <w:t>•</w:t>
      </w:r>
      <w:r>
        <w:tab/>
        <w:t>Portal hrvatskih znanstvenih i stručnih časopisa Hrčak središnji je portal koji na jednom mjestu okuplja hrvatske znan</w:t>
      </w:r>
      <w:r>
        <w:t xml:space="preserve">stvene i stručne časopise koji nude otvoreni pristup svojim radovima. </w:t>
      </w:r>
    </w:p>
    <w:p w:rsidR="009520A9" w:rsidRDefault="00770482">
      <w:r>
        <w:t>•</w:t>
      </w:r>
      <w:r>
        <w:tab/>
        <w:t xml:space="preserve">Pohrana i upravljanje podacima Puh omogućava pohranu i/ili dijeljenje podataka tijekom obrazovanja ili istraživanja. </w:t>
      </w:r>
    </w:p>
    <w:p w:rsidR="009520A9" w:rsidRDefault="00770482">
      <w:r>
        <w:t>•</w:t>
      </w:r>
      <w:r>
        <w:tab/>
        <w:t>Podrška otvorenoj znanosti omogućava razmjenu dobrih praksi i n</w:t>
      </w:r>
      <w:r>
        <w:t xml:space="preserve">ačina primjene načela otvorene znanosti.  </w:t>
      </w:r>
    </w:p>
    <w:p w:rsidR="009520A9" w:rsidRDefault="00770482">
      <w:r>
        <w:t xml:space="preserve">Informacijska podrška administraciji i poslovanju  </w:t>
      </w:r>
    </w:p>
    <w:p w:rsidR="009520A9" w:rsidRDefault="00770482">
      <w:r>
        <w:t>•</w:t>
      </w:r>
      <w:r>
        <w:tab/>
        <w:t xml:space="preserve">Informacijska podrška visokim učilištima u poslovanju sa studentima osigurava se kroz Informacijski sustav visokih učilišta (ISVU). U ISVU-u se evidentiraju i </w:t>
      </w:r>
      <w:r>
        <w:t xml:space="preserve">čuvaju podaci o studentima, nastavnicima, kolegijima, nastavnim programima i planovima, o upisima, ispitima, temama završnih radova i završetku studija.  </w:t>
      </w:r>
    </w:p>
    <w:p w:rsidR="009520A9" w:rsidRDefault="00770482">
      <w:r>
        <w:t>•</w:t>
      </w:r>
      <w:r>
        <w:tab/>
        <w:t>Informacijska podrška sustavu znanosti podržava standardne aktivnosti dionika vezanih uz znanstvenu</w:t>
      </w:r>
      <w:r>
        <w:t xml:space="preserve"> djelatnost, od održavanja službenih evidencija što obavlja Ministarstvo znanosti i obrazovanja, do evidencije znanstvenih aktivnosti i doprinosa pojedinih znanstvenika. Informacijski sustav na kojem se temelji usluga je Informacijski sustav znanosti RH (C</w:t>
      </w:r>
      <w:r>
        <w:t xml:space="preserve">roRIS). </w:t>
      </w:r>
    </w:p>
    <w:p w:rsidR="009520A9" w:rsidRDefault="00770482">
      <w:r>
        <w:t>•</w:t>
      </w:r>
      <w:r>
        <w:tab/>
        <w:t xml:space="preserve">Informacijska podrška Hrvatskom kvalifikacijskom okviru  osigurava razvoj i održavanje Informacijskog sustava Registra Hrvatskog kvalifikacijskog okvira (ISRHKO) te podršku svim dionicima sustava </w:t>
      </w:r>
    </w:p>
    <w:p w:rsidR="009520A9" w:rsidRDefault="00770482">
      <w:r>
        <w:t>•</w:t>
      </w:r>
      <w:r>
        <w:tab/>
        <w:t>Informacijska podrška studentskom standardu ob</w:t>
      </w:r>
      <w:r>
        <w:t>uhvaća dva velika informacijska sustava – Informacijski sustav akademskih kartica (ISAK) koji omogućuje identifikaciju studenta putem studentske iskaznice, službene isprave studenata u Republici Hrvatskoj, i Informacijski sustav studentskih prava (ISSP) ko</w:t>
      </w:r>
      <w:r>
        <w:t>ji omogućuje pojedinim pravnim osobama pristup podacima radi provjere studentskih prava. Sustav također služi za odobravanje i evidenciju potrošnje sredstava za subvencioniranu prehranu studenata pri davateljima usluge prehrane. Srce u okviru ove usluge pr</w:t>
      </w:r>
      <w:r>
        <w:t xml:space="preserve">uža i informacijsku podršku procesima dodjele državnih i STEM stipendija. </w:t>
      </w:r>
    </w:p>
    <w:p w:rsidR="009520A9" w:rsidRDefault="00770482">
      <w:r>
        <w:t>•</w:t>
      </w:r>
      <w:r>
        <w:tab/>
        <w:t xml:space="preserve">Informacijska podrška savezima europskih sveučilišta  </w:t>
      </w:r>
    </w:p>
    <w:p w:rsidR="009520A9" w:rsidRDefault="00770482">
      <w:r>
        <w:t xml:space="preserve">Digitalno obrazovanje  </w:t>
      </w:r>
    </w:p>
    <w:p w:rsidR="009520A9" w:rsidRDefault="00770482">
      <w:r>
        <w:t>•</w:t>
      </w:r>
      <w:r>
        <w:tab/>
        <w:t>Obrazovni programi Srca uključuju tečajeve, radionice, webinare i druge obrazovne aktivnosti koje omogućavaju kvalitetno i raznovrsno obrazovanje u području informatičke pismenosti, primjene računala, interneta, osnovnih i naprednih aplikacija te IT alat</w:t>
      </w:r>
      <w:r>
        <w:t xml:space="preserve">a. Također, provode se aktivnosti koje polaznicima omogućuju usvajanje stručnih i specijaliziranih znanja za uporabu resursa, platformi i informacijskih sustava Srca. </w:t>
      </w:r>
    </w:p>
    <w:p w:rsidR="009520A9" w:rsidRDefault="00770482">
      <w:r>
        <w:t>•</w:t>
      </w:r>
      <w:r>
        <w:tab/>
        <w:t>Podrška digitalnom obrazovanju osigurava se kroz rad Centra za e-učenje Srca koji je n</w:t>
      </w:r>
      <w:r>
        <w:t>acionalni centar za podršku u e-učenju u sustavu visokog obrazovanja u RH. Uz alate i tehnologije za e-učenje kao što je sustav za e-učenje Merlin (sustav za e-učenje za potrebe visokog obrazovanja u RH), Centar pruža kvalitetnu i stručnu podršku implement</w:t>
      </w:r>
      <w:r>
        <w:t xml:space="preserve">aciji digitalnih tehnologija u obrazovni proces. </w:t>
      </w:r>
    </w:p>
    <w:p w:rsidR="009520A9" w:rsidRDefault="00770482">
      <w:r>
        <w:t>•</w:t>
      </w:r>
      <w:r>
        <w:tab/>
        <w:t xml:space="preserve">Sustav za webinare koji omogućava održavanje nastave, odnosno prezentacija, predavanja, radionica, seminara online u realnom vremenu. </w:t>
      </w:r>
    </w:p>
    <w:p w:rsidR="009520A9" w:rsidRDefault="00770482">
      <w:r>
        <w:t>•</w:t>
      </w:r>
      <w:r>
        <w:tab/>
        <w:t>Podrška otvorenom obrazovanju kojom se potiče razmjena dobrih praks</w:t>
      </w:r>
      <w:r>
        <w:t xml:space="preserve">i i načina primjene načela otvorenog obrazovanja. </w:t>
      </w:r>
    </w:p>
    <w:p w:rsidR="009520A9" w:rsidRDefault="00770482">
      <w:r>
        <w:t>•</w:t>
      </w:r>
      <w:r>
        <w:tab/>
        <w:t xml:space="preserve">Softveri za provjeru autentičnosti radova za potrebe javnih učilišta u sustavu visokog obrazovanja. </w:t>
      </w:r>
    </w:p>
    <w:p w:rsidR="009520A9" w:rsidRDefault="00770482">
      <w:r>
        <w:t>Srce osigurava i digitalne alate koji omogućavaju ili olakšavaju obavljanje zadataka u digitalnom okru</w:t>
      </w:r>
      <w:r>
        <w:t>ženju, kao što su sustav za video-konferencije, alat za pripremu, distribuciju i osnovnu analizu online anketa, te alat za sigurno slanje proizvoljno velikih datoteka, ali i pruža podršku pri distribuciji Microsoftovih proizvoda što ih za potrebe zajednice</w:t>
      </w:r>
      <w:r>
        <w:t xml:space="preserve"> nabavlja Ministarstvo znanosti i obrazovanja.</w:t>
      </w:r>
    </w:p>
    <w:tbl>
      <w:tblPr>
        <w:tblStyle w:val="StilTablice"/>
        <w:tblW w:w="10206" w:type="dxa"/>
        <w:jc w:val="center"/>
        <w:tblLook w:val="04A0" w:firstRow="1" w:lastRow="0" w:firstColumn="1" w:lastColumn="0" w:noHBand="0" w:noVBand="1"/>
      </w:tblPr>
      <w:tblGrid>
        <w:gridCol w:w="1426"/>
        <w:gridCol w:w="1562"/>
        <w:gridCol w:w="1562"/>
        <w:gridCol w:w="1562"/>
        <w:gridCol w:w="1562"/>
        <w:gridCol w:w="1562"/>
        <w:gridCol w:w="970"/>
      </w:tblGrid>
      <w:tr w:rsidR="009520A9">
        <w:trPr>
          <w:jc w:val="center"/>
        </w:trPr>
        <w:tc>
          <w:tcPr>
            <w:tcW w:w="1530" w:type="dxa"/>
            <w:shd w:val="clear" w:color="auto" w:fill="B5C0D8"/>
          </w:tcPr>
          <w:p w:rsidR="009520A9" w:rsidRDefault="009520A9">
            <w:pPr>
              <w:pStyle w:val="CellHeader"/>
              <w:jc w:val="center"/>
            </w:pP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tcPr>
          <w:p w:rsidR="009520A9" w:rsidRDefault="00770482">
            <w:pPr>
              <w:pStyle w:val="CellColumn"/>
              <w:jc w:val="left"/>
            </w:pPr>
            <w:r>
              <w:rPr>
                <w:rFonts w:cs="Times New Roman"/>
              </w:rPr>
              <w:t>23665</w:t>
            </w:r>
          </w:p>
        </w:tc>
        <w:tc>
          <w:tcPr>
            <w:tcW w:w="1632" w:type="dxa"/>
          </w:tcPr>
          <w:p w:rsidR="009520A9" w:rsidRDefault="00770482">
            <w:pPr>
              <w:jc w:val="right"/>
            </w:pPr>
            <w:r>
              <w:t>22.052.317</w:t>
            </w:r>
          </w:p>
        </w:tc>
        <w:tc>
          <w:tcPr>
            <w:tcW w:w="1632" w:type="dxa"/>
          </w:tcPr>
          <w:p w:rsidR="009520A9" w:rsidRDefault="00770482">
            <w:pPr>
              <w:jc w:val="right"/>
            </w:pPr>
            <w:r>
              <w:t>12.256.853</w:t>
            </w:r>
          </w:p>
        </w:tc>
        <w:tc>
          <w:tcPr>
            <w:tcW w:w="1632" w:type="dxa"/>
          </w:tcPr>
          <w:p w:rsidR="009520A9" w:rsidRDefault="00770482">
            <w:pPr>
              <w:jc w:val="right"/>
            </w:pPr>
            <w:r>
              <w:t>11.408.154</w:t>
            </w:r>
          </w:p>
        </w:tc>
        <w:tc>
          <w:tcPr>
            <w:tcW w:w="1632" w:type="dxa"/>
          </w:tcPr>
          <w:p w:rsidR="009520A9" w:rsidRDefault="00770482">
            <w:pPr>
              <w:jc w:val="right"/>
            </w:pPr>
            <w:r>
              <w:t>11.538.007</w:t>
            </w:r>
          </w:p>
        </w:tc>
        <w:tc>
          <w:tcPr>
            <w:tcW w:w="1632" w:type="dxa"/>
          </w:tcPr>
          <w:p w:rsidR="009520A9" w:rsidRDefault="00770482">
            <w:pPr>
              <w:jc w:val="right"/>
            </w:pPr>
            <w:r>
              <w:t>10.103.964</w:t>
            </w:r>
          </w:p>
        </w:tc>
        <w:tc>
          <w:tcPr>
            <w:tcW w:w="510" w:type="dxa"/>
          </w:tcPr>
          <w:p w:rsidR="009520A9" w:rsidRDefault="00770482">
            <w:pPr>
              <w:jc w:val="right"/>
            </w:pPr>
            <w:r>
              <w:t>93,1</w:t>
            </w:r>
          </w:p>
        </w:tc>
      </w:tr>
    </w:tbl>
    <w:p w:rsidR="009520A9" w:rsidRDefault="009520A9">
      <w:pPr>
        <w:jc w:val="left"/>
      </w:pPr>
    </w:p>
    <w:p w:rsidR="009520A9" w:rsidRDefault="00770482">
      <w:pPr>
        <w:pStyle w:val="Heading3"/>
      </w:pPr>
      <w:r>
        <w:rPr>
          <w:rFonts w:cs="Times New Roman"/>
        </w:rPr>
        <w:t>3803 RAZVOJ INFORMACIJSKOG DRUŠTVA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9520A9">
        <w:trPr>
          <w:jc w:val="center"/>
        </w:trPr>
        <w:tc>
          <w:tcPr>
            <w:tcW w:w="1530" w:type="dxa"/>
            <w:shd w:val="clear" w:color="auto" w:fill="B5C0D8"/>
          </w:tcPr>
          <w:p w:rsidR="009520A9" w:rsidRDefault="009520A9">
            <w:pPr>
              <w:pStyle w:val="CellHeader"/>
            </w:pPr>
          </w:p>
        </w:tc>
        <w:tc>
          <w:tcPr>
            <w:tcW w:w="1632" w:type="dxa"/>
            <w:shd w:val="clear" w:color="auto" w:fill="B5C0D8"/>
          </w:tcPr>
          <w:p w:rsidR="009520A9" w:rsidRDefault="00770482">
            <w:pPr>
              <w:pStyle w:val="CellHeader"/>
            </w:pPr>
            <w:r>
              <w:rPr>
                <w:rFonts w:cs="Times New Roman"/>
              </w:rPr>
              <w:t>Izvršenje 2022.</w:t>
            </w:r>
          </w:p>
        </w:tc>
        <w:tc>
          <w:tcPr>
            <w:tcW w:w="1632" w:type="dxa"/>
            <w:shd w:val="clear" w:color="auto" w:fill="B5C0D8"/>
          </w:tcPr>
          <w:p w:rsidR="009520A9" w:rsidRDefault="00770482">
            <w:pPr>
              <w:pStyle w:val="CellHeader"/>
            </w:pPr>
            <w:r>
              <w:rPr>
                <w:rFonts w:cs="Times New Roman"/>
              </w:rPr>
              <w:t>Plan 2023.</w:t>
            </w:r>
          </w:p>
        </w:tc>
        <w:tc>
          <w:tcPr>
            <w:tcW w:w="1632" w:type="dxa"/>
            <w:shd w:val="clear" w:color="auto" w:fill="B5C0D8"/>
          </w:tcPr>
          <w:p w:rsidR="009520A9" w:rsidRDefault="00770482">
            <w:pPr>
              <w:pStyle w:val="CellHeader"/>
            </w:pPr>
            <w:r>
              <w:rPr>
                <w:rFonts w:cs="Times New Roman"/>
              </w:rPr>
              <w:t>Plan 2024.</w:t>
            </w:r>
          </w:p>
        </w:tc>
        <w:tc>
          <w:tcPr>
            <w:tcW w:w="1632" w:type="dxa"/>
            <w:shd w:val="clear" w:color="auto" w:fill="B5C0D8"/>
          </w:tcPr>
          <w:p w:rsidR="009520A9" w:rsidRDefault="00770482">
            <w:pPr>
              <w:pStyle w:val="CellHeader"/>
            </w:pPr>
            <w:r>
              <w:rPr>
                <w:rFonts w:cs="Times New Roman"/>
              </w:rPr>
              <w:t>Plan 2025.</w:t>
            </w:r>
          </w:p>
        </w:tc>
        <w:tc>
          <w:tcPr>
            <w:tcW w:w="1632" w:type="dxa"/>
            <w:shd w:val="clear" w:color="auto" w:fill="B5C0D8"/>
          </w:tcPr>
          <w:p w:rsidR="009520A9" w:rsidRDefault="00770482">
            <w:pPr>
              <w:pStyle w:val="CellHead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3803</w:t>
            </w:r>
          </w:p>
        </w:tc>
        <w:tc>
          <w:tcPr>
            <w:tcW w:w="1632" w:type="dxa"/>
            <w:vAlign w:val="top"/>
          </w:tcPr>
          <w:p w:rsidR="009520A9" w:rsidRDefault="00770482">
            <w:pPr>
              <w:jc w:val="right"/>
            </w:pPr>
            <w:r>
              <w:t>22.052.317</w:t>
            </w:r>
          </w:p>
        </w:tc>
        <w:tc>
          <w:tcPr>
            <w:tcW w:w="1632" w:type="dxa"/>
            <w:vAlign w:val="top"/>
          </w:tcPr>
          <w:p w:rsidR="009520A9" w:rsidRDefault="00770482">
            <w:pPr>
              <w:jc w:val="right"/>
            </w:pPr>
            <w:r>
              <w:t>12.256.853</w:t>
            </w:r>
          </w:p>
        </w:tc>
        <w:tc>
          <w:tcPr>
            <w:tcW w:w="1632" w:type="dxa"/>
            <w:vAlign w:val="top"/>
          </w:tcPr>
          <w:p w:rsidR="009520A9" w:rsidRDefault="00770482">
            <w:pPr>
              <w:jc w:val="right"/>
            </w:pPr>
            <w:r>
              <w:t>11.408.154</w:t>
            </w:r>
          </w:p>
        </w:tc>
        <w:tc>
          <w:tcPr>
            <w:tcW w:w="1632" w:type="dxa"/>
            <w:vAlign w:val="top"/>
          </w:tcPr>
          <w:p w:rsidR="009520A9" w:rsidRDefault="00770482">
            <w:pPr>
              <w:jc w:val="right"/>
            </w:pPr>
            <w:r>
              <w:t>11.538.007</w:t>
            </w:r>
          </w:p>
        </w:tc>
        <w:tc>
          <w:tcPr>
            <w:tcW w:w="1632" w:type="dxa"/>
            <w:vAlign w:val="top"/>
          </w:tcPr>
          <w:p w:rsidR="009520A9" w:rsidRDefault="00770482">
            <w:pPr>
              <w:jc w:val="right"/>
            </w:pPr>
            <w:r>
              <w:t>10.103.964</w:t>
            </w:r>
          </w:p>
        </w:tc>
        <w:tc>
          <w:tcPr>
            <w:tcW w:w="510" w:type="dxa"/>
            <w:vAlign w:val="top"/>
          </w:tcPr>
          <w:p w:rsidR="009520A9" w:rsidRDefault="00770482">
            <w:pPr>
              <w:jc w:val="right"/>
            </w:pPr>
            <w:r>
              <w:t>93,1</w:t>
            </w:r>
          </w:p>
        </w:tc>
      </w:tr>
    </w:tbl>
    <w:p w:rsidR="009520A9" w:rsidRDefault="009520A9">
      <w:pPr>
        <w:jc w:val="left"/>
      </w:pPr>
    </w:p>
    <w:p w:rsidR="009520A9" w:rsidRDefault="00770482">
      <w:pPr>
        <w:pStyle w:val="Heading8"/>
        <w:jc w:val="left"/>
      </w:pPr>
      <w:r>
        <w:t>Cilj 1. Unaprijediti i osigurati pouzdan i stabilan rad temeljnih sastavnica e-infrastrukture sustava znanosti i obrazovanja RH, te ih povezati s europskim e-infrastrukturama, osigurati akademskoj zajednici pristup najnovijoj tehnologiji i uslugama.</w:t>
      </w:r>
    </w:p>
    <w:p w:rsidR="009520A9" w:rsidRDefault="00770482">
      <w:pPr>
        <w:pStyle w:val="Heading8"/>
        <w:jc w:val="left"/>
      </w:pPr>
      <w:r>
        <w:t>Cilj 2</w:t>
      </w:r>
      <w:r>
        <w:t>. Osigurati pouzdan i stabilan rad sastavnica posredničkog sloja e-infrastrukture sustava znanosti i obrazovanja RH, te ih povezati s odgovarajućim europskim sustavima.</w:t>
      </w:r>
    </w:p>
    <w:p w:rsidR="009520A9" w:rsidRDefault="00770482">
      <w:pPr>
        <w:pStyle w:val="Heading8"/>
        <w:jc w:val="left"/>
      </w:pPr>
      <w:r>
        <w:t>Cilj 3. Osigurati pouzdan rad i unapređenje informacijskih sustava i internetskih aplik</w:t>
      </w:r>
      <w:r>
        <w:t>acija vezanih uz funkcioniranje sustava znanosti i visokog obrazovanja u RH.</w:t>
      </w:r>
    </w:p>
    <w:p w:rsidR="009520A9" w:rsidRDefault="00770482">
      <w:pPr>
        <w:pStyle w:val="Heading8"/>
        <w:jc w:val="left"/>
      </w:pPr>
      <w:r>
        <w:t>Cilj 4. Unaprijediti i olakšati uporabu informacijske i komunikacijske tehnologije u obrazovanju i znanosti, te proširiti krug korisnika e-infrastrukture sustava znanosti i visoko</w:t>
      </w:r>
      <w:r>
        <w:t>g obrazovanja.</w:t>
      </w:r>
    </w:p>
    <w:p w:rsidR="009520A9" w:rsidRDefault="00770482">
      <w:pPr>
        <w:pStyle w:val="Heading8"/>
        <w:jc w:val="left"/>
      </w:pPr>
      <w:r>
        <w:t>Pokazatelji učinka</w:t>
      </w:r>
    </w:p>
    <w:tbl>
      <w:tblPr>
        <w:tblStyle w:val="StilTablice"/>
        <w:tblW w:w="10206" w:type="dxa"/>
        <w:jc w:val="center"/>
        <w:tblLook w:val="04A0" w:firstRow="1" w:lastRow="0" w:firstColumn="1" w:lastColumn="0" w:noHBand="0" w:noVBand="1"/>
      </w:tblPr>
      <w:tblGrid>
        <w:gridCol w:w="1236"/>
        <w:gridCol w:w="1627"/>
        <w:gridCol w:w="773"/>
        <w:gridCol w:w="914"/>
        <w:gridCol w:w="2314"/>
        <w:gridCol w:w="1114"/>
        <w:gridCol w:w="1114"/>
        <w:gridCol w:w="1114"/>
      </w:tblGrid>
      <w:tr w:rsidR="009520A9">
        <w:trPr>
          <w:jc w:val="center"/>
        </w:trPr>
        <w:tc>
          <w:tcPr>
            <w:tcW w:w="2245" w:type="dxa"/>
            <w:shd w:val="clear" w:color="auto" w:fill="B5C0D8"/>
          </w:tcPr>
          <w:p w:rsidR="009520A9" w:rsidRDefault="00770482">
            <w:pPr>
              <w:jc w:val="center"/>
            </w:pPr>
            <w:r>
              <w:t>Pokazatelj učinka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ustanova koje koriste infrastrukturu HR-ZOO</w:t>
            </w:r>
          </w:p>
        </w:tc>
        <w:tc>
          <w:tcPr>
            <w:tcW w:w="2245" w:type="dxa"/>
            <w:vAlign w:val="top"/>
          </w:tcPr>
          <w:p w:rsidR="009520A9" w:rsidRDefault="00770482">
            <w:pPr>
              <w:pStyle w:val="CellColumn"/>
              <w:jc w:val="left"/>
            </w:pPr>
            <w:r>
              <w:rPr>
                <w:rFonts w:cs="Times New Roman"/>
              </w:rPr>
              <w:t xml:space="preserve">Ukupni broj znanstvenih organizacija koje koriste usluge „Napredno računanje“ i „VDC – Virtualni podatkovni centri“na infrastrukturi HR-ZOO. </w:t>
            </w:r>
          </w:p>
          <w:p w:rsidR="009520A9" w:rsidRDefault="00770482">
            <w:pPr>
              <w:pStyle w:val="CellColumn"/>
              <w:jc w:val="left"/>
            </w:pPr>
            <w:r>
              <w:rPr>
                <w:rFonts w:cs="Times New Roman"/>
              </w:rPr>
              <w:t>Svaka se pojedina ustanova računa samo jednom neovisno o broju usluga koje koristi.</w:t>
            </w:r>
          </w:p>
        </w:tc>
        <w:tc>
          <w:tcPr>
            <w:tcW w:w="918" w:type="dxa"/>
          </w:tcPr>
          <w:p w:rsidR="009520A9" w:rsidRDefault="00770482">
            <w:pPr>
              <w:jc w:val="center"/>
            </w:pPr>
            <w:r>
              <w:t>broj</w:t>
            </w:r>
          </w:p>
        </w:tc>
        <w:tc>
          <w:tcPr>
            <w:tcW w:w="918" w:type="dxa"/>
          </w:tcPr>
          <w:p w:rsidR="009520A9" w:rsidRDefault="00770482">
            <w:pPr>
              <w:jc w:val="center"/>
            </w:pPr>
            <w:r>
              <w:t>30</w:t>
            </w:r>
          </w:p>
        </w:tc>
        <w:tc>
          <w:tcPr>
            <w:tcW w:w="918" w:type="dxa"/>
          </w:tcPr>
          <w:p w:rsidR="009520A9" w:rsidRDefault="00770482">
            <w:pPr>
              <w:pStyle w:val="CellColumn"/>
              <w:jc w:val="center"/>
            </w:pPr>
            <w:r>
              <w:rPr>
                <w:rFonts w:cs="Times New Roman"/>
              </w:rPr>
              <w:t>evidencija infrastrukt</w:t>
            </w:r>
            <w:r>
              <w:rPr>
                <w:rFonts w:cs="Times New Roman"/>
              </w:rPr>
              <w:t>ure HR-ZOO</w:t>
            </w:r>
          </w:p>
        </w:tc>
        <w:tc>
          <w:tcPr>
            <w:tcW w:w="918" w:type="dxa"/>
          </w:tcPr>
          <w:p w:rsidR="009520A9" w:rsidRDefault="00770482">
            <w:pPr>
              <w:jc w:val="center"/>
            </w:pPr>
            <w:r>
              <w:t>80</w:t>
            </w:r>
          </w:p>
        </w:tc>
        <w:tc>
          <w:tcPr>
            <w:tcW w:w="918" w:type="dxa"/>
          </w:tcPr>
          <w:p w:rsidR="009520A9" w:rsidRDefault="00770482">
            <w:pPr>
              <w:jc w:val="center"/>
            </w:pPr>
            <w:r>
              <w:t>90</w:t>
            </w:r>
          </w:p>
        </w:tc>
        <w:tc>
          <w:tcPr>
            <w:tcW w:w="918" w:type="dxa"/>
          </w:tcPr>
          <w:p w:rsidR="009520A9" w:rsidRDefault="00770482">
            <w:pPr>
              <w:jc w:val="center"/>
            </w:pPr>
            <w:r>
              <w:t>95</w:t>
            </w:r>
          </w:p>
        </w:tc>
      </w:tr>
      <w:tr w:rsidR="009520A9">
        <w:trPr>
          <w:jc w:val="center"/>
        </w:trPr>
        <w:tc>
          <w:tcPr>
            <w:tcW w:w="2245" w:type="dxa"/>
            <w:vAlign w:val="top"/>
          </w:tcPr>
          <w:p w:rsidR="009520A9" w:rsidRDefault="00770482">
            <w:pPr>
              <w:pStyle w:val="CellColumn"/>
              <w:jc w:val="left"/>
            </w:pPr>
            <w:r>
              <w:rPr>
                <w:rFonts w:cs="Times New Roman"/>
              </w:rPr>
              <w:t>Broj istraživača koji koriste infrastrukturu HR-ZOO</w:t>
            </w:r>
          </w:p>
        </w:tc>
        <w:tc>
          <w:tcPr>
            <w:tcW w:w="2245" w:type="dxa"/>
            <w:vAlign w:val="top"/>
          </w:tcPr>
          <w:p w:rsidR="009520A9" w:rsidRDefault="00770482">
            <w:pPr>
              <w:pStyle w:val="CellColumn"/>
              <w:jc w:val="left"/>
            </w:pPr>
            <w:r>
              <w:rPr>
                <w:rFonts w:cs="Times New Roman"/>
              </w:rPr>
              <w:t>Ukupni broj istraživača koji koriste usluge „Napredno računanje“ i „Pohrana i upravljanje podacima Puh“na infrastrukturi HR-ZOO.</w:t>
            </w:r>
          </w:p>
        </w:tc>
        <w:tc>
          <w:tcPr>
            <w:tcW w:w="918" w:type="dxa"/>
          </w:tcPr>
          <w:p w:rsidR="009520A9" w:rsidRDefault="00770482">
            <w:pPr>
              <w:jc w:val="center"/>
            </w:pPr>
            <w:r>
              <w:t>broj</w:t>
            </w:r>
          </w:p>
        </w:tc>
        <w:tc>
          <w:tcPr>
            <w:tcW w:w="918" w:type="dxa"/>
          </w:tcPr>
          <w:p w:rsidR="009520A9" w:rsidRDefault="00770482">
            <w:pPr>
              <w:jc w:val="center"/>
            </w:pPr>
            <w:r>
              <w:t>160</w:t>
            </w:r>
          </w:p>
        </w:tc>
        <w:tc>
          <w:tcPr>
            <w:tcW w:w="918" w:type="dxa"/>
          </w:tcPr>
          <w:p w:rsidR="009520A9" w:rsidRDefault="00770482">
            <w:pPr>
              <w:pStyle w:val="CellColumn"/>
              <w:jc w:val="center"/>
            </w:pPr>
            <w:r>
              <w:rPr>
                <w:rFonts w:cs="Times New Roman"/>
              </w:rPr>
              <w:t>evidencija infrastrukture HR-ZOO</w:t>
            </w:r>
          </w:p>
        </w:tc>
        <w:tc>
          <w:tcPr>
            <w:tcW w:w="918" w:type="dxa"/>
          </w:tcPr>
          <w:p w:rsidR="009520A9" w:rsidRDefault="00770482">
            <w:pPr>
              <w:jc w:val="center"/>
            </w:pPr>
            <w:r>
              <w:t>500</w:t>
            </w:r>
          </w:p>
        </w:tc>
        <w:tc>
          <w:tcPr>
            <w:tcW w:w="918" w:type="dxa"/>
          </w:tcPr>
          <w:p w:rsidR="009520A9" w:rsidRDefault="00770482">
            <w:pPr>
              <w:jc w:val="center"/>
            </w:pPr>
            <w:r>
              <w:t>525</w:t>
            </w:r>
          </w:p>
        </w:tc>
        <w:tc>
          <w:tcPr>
            <w:tcW w:w="918" w:type="dxa"/>
          </w:tcPr>
          <w:p w:rsidR="009520A9" w:rsidRDefault="00770482">
            <w:pPr>
              <w:jc w:val="center"/>
            </w:pPr>
            <w:r>
              <w:t>550</w:t>
            </w:r>
          </w:p>
        </w:tc>
      </w:tr>
      <w:tr w:rsidR="009520A9">
        <w:trPr>
          <w:jc w:val="center"/>
        </w:trPr>
        <w:tc>
          <w:tcPr>
            <w:tcW w:w="2245" w:type="dxa"/>
            <w:vAlign w:val="top"/>
          </w:tcPr>
          <w:p w:rsidR="009520A9" w:rsidRDefault="00770482">
            <w:pPr>
              <w:pStyle w:val="CellColumn"/>
              <w:jc w:val="left"/>
            </w:pPr>
            <w:r>
              <w:rPr>
                <w:rFonts w:cs="Times New Roman"/>
              </w:rPr>
              <w:t>Povećanje broja usluga dostupnih uporabom elektroničkih identiteta iz sustava AAI@EduHr</w:t>
            </w:r>
          </w:p>
        </w:tc>
        <w:tc>
          <w:tcPr>
            <w:tcW w:w="2245" w:type="dxa"/>
            <w:vAlign w:val="top"/>
          </w:tcPr>
          <w:p w:rsidR="009520A9" w:rsidRDefault="00770482">
            <w:pPr>
              <w:pStyle w:val="CellColumn"/>
              <w:jc w:val="left"/>
            </w:pPr>
            <w:r>
              <w:rPr>
                <w:rFonts w:cs="Times New Roman"/>
              </w:rPr>
              <w:t>Broj usluga dostupnih uporabom elektroničkih identiteta AAI@EduHr je broj resursa različitih davatelja usluga koji koristite sustav AAI@EduHr za autentikaciju korisnika</w:t>
            </w:r>
          </w:p>
        </w:tc>
        <w:tc>
          <w:tcPr>
            <w:tcW w:w="918" w:type="dxa"/>
          </w:tcPr>
          <w:p w:rsidR="009520A9" w:rsidRDefault="00770482">
            <w:pPr>
              <w:jc w:val="center"/>
            </w:pPr>
            <w:r>
              <w:t>broj</w:t>
            </w:r>
          </w:p>
        </w:tc>
        <w:tc>
          <w:tcPr>
            <w:tcW w:w="918" w:type="dxa"/>
          </w:tcPr>
          <w:p w:rsidR="009520A9" w:rsidRDefault="00770482">
            <w:pPr>
              <w:jc w:val="center"/>
            </w:pPr>
            <w:r>
              <w:t>980</w:t>
            </w:r>
          </w:p>
        </w:tc>
        <w:tc>
          <w:tcPr>
            <w:tcW w:w="918" w:type="dxa"/>
          </w:tcPr>
          <w:p w:rsidR="009520A9" w:rsidRDefault="00770482">
            <w:pPr>
              <w:pStyle w:val="CellColumn"/>
              <w:jc w:val="center"/>
            </w:pPr>
            <w:r>
              <w:rPr>
                <w:rFonts w:cs="Times New Roman"/>
              </w:rPr>
              <w:t xml:space="preserve">evidencija sustava AAI@EduHr </w:t>
            </w:r>
          </w:p>
          <w:p w:rsidR="009520A9" w:rsidRDefault="00770482">
            <w:pPr>
              <w:pStyle w:val="CellColumn"/>
              <w:jc w:val="center"/>
            </w:pPr>
            <w:r>
              <w:rPr>
                <w:rFonts w:cs="Times New Roman"/>
              </w:rPr>
              <w:t>(www.aaiedu.hr)</w:t>
            </w:r>
          </w:p>
        </w:tc>
        <w:tc>
          <w:tcPr>
            <w:tcW w:w="918" w:type="dxa"/>
          </w:tcPr>
          <w:p w:rsidR="009520A9" w:rsidRDefault="00770482">
            <w:pPr>
              <w:jc w:val="center"/>
            </w:pPr>
            <w:r>
              <w:t>1020</w:t>
            </w:r>
          </w:p>
        </w:tc>
        <w:tc>
          <w:tcPr>
            <w:tcW w:w="918" w:type="dxa"/>
          </w:tcPr>
          <w:p w:rsidR="009520A9" w:rsidRDefault="00770482">
            <w:pPr>
              <w:jc w:val="center"/>
            </w:pPr>
            <w:r>
              <w:t>1060</w:t>
            </w:r>
          </w:p>
        </w:tc>
        <w:tc>
          <w:tcPr>
            <w:tcW w:w="918" w:type="dxa"/>
          </w:tcPr>
          <w:p w:rsidR="009520A9" w:rsidRDefault="00770482">
            <w:pPr>
              <w:jc w:val="center"/>
            </w:pPr>
            <w:r>
              <w:t>1080</w:t>
            </w:r>
          </w:p>
        </w:tc>
      </w:tr>
      <w:tr w:rsidR="009520A9">
        <w:trPr>
          <w:jc w:val="center"/>
        </w:trPr>
        <w:tc>
          <w:tcPr>
            <w:tcW w:w="2245" w:type="dxa"/>
            <w:vAlign w:val="top"/>
          </w:tcPr>
          <w:p w:rsidR="009520A9" w:rsidRDefault="00770482">
            <w:pPr>
              <w:pStyle w:val="CellColumn"/>
              <w:jc w:val="left"/>
            </w:pPr>
            <w:r>
              <w:rPr>
                <w:rFonts w:cs="Times New Roman"/>
              </w:rPr>
              <w:t>Ukupni broj uspj</w:t>
            </w:r>
            <w:r>
              <w:rPr>
                <w:rFonts w:cs="Times New Roman"/>
              </w:rPr>
              <w:t>ešnih autentikacija u sustavu AAI@EduHr</w:t>
            </w:r>
          </w:p>
        </w:tc>
        <w:tc>
          <w:tcPr>
            <w:tcW w:w="2245" w:type="dxa"/>
            <w:vAlign w:val="top"/>
          </w:tcPr>
          <w:p w:rsidR="009520A9" w:rsidRDefault="00770482">
            <w:pPr>
              <w:pStyle w:val="CellColumn"/>
              <w:jc w:val="left"/>
            </w:pPr>
            <w:r>
              <w:rPr>
                <w:rFonts w:cs="Times New Roman"/>
              </w:rPr>
              <w:t>Ukupni broj uspješnih autentikacija je zbroj svih uspješnih autentikacija RADIUS-om i SSO-om tijekom jedne godine.</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 xml:space="preserve">evidencija sustava AAI@EduHr </w:t>
            </w:r>
          </w:p>
          <w:p w:rsidR="009520A9" w:rsidRDefault="00770482">
            <w:pPr>
              <w:pStyle w:val="CellColumn"/>
              <w:jc w:val="center"/>
            </w:pPr>
            <w:r>
              <w:rPr>
                <w:rFonts w:cs="Times New Roman"/>
              </w:rPr>
              <w:t>(www.aaiedu.hr/ statistika-i-stanje-sustava/ statistike)</w:t>
            </w:r>
          </w:p>
        </w:tc>
        <w:tc>
          <w:tcPr>
            <w:tcW w:w="918" w:type="dxa"/>
          </w:tcPr>
          <w:p w:rsidR="009520A9" w:rsidRDefault="00770482">
            <w:pPr>
              <w:jc w:val="center"/>
            </w:pPr>
            <w:r>
              <w:t>750.000.000</w:t>
            </w:r>
          </w:p>
        </w:tc>
        <w:tc>
          <w:tcPr>
            <w:tcW w:w="918" w:type="dxa"/>
          </w:tcPr>
          <w:p w:rsidR="009520A9" w:rsidRDefault="00770482">
            <w:pPr>
              <w:jc w:val="center"/>
            </w:pPr>
            <w:r>
              <w:t>800.000.000</w:t>
            </w:r>
          </w:p>
        </w:tc>
        <w:tc>
          <w:tcPr>
            <w:tcW w:w="918" w:type="dxa"/>
          </w:tcPr>
          <w:p w:rsidR="009520A9" w:rsidRDefault="00770482">
            <w:pPr>
              <w:jc w:val="center"/>
            </w:pPr>
            <w:r>
              <w:t>800.000.000</w:t>
            </w:r>
          </w:p>
        </w:tc>
      </w:tr>
      <w:tr w:rsidR="009520A9">
        <w:trPr>
          <w:jc w:val="center"/>
        </w:trPr>
        <w:tc>
          <w:tcPr>
            <w:tcW w:w="2245" w:type="dxa"/>
            <w:vAlign w:val="top"/>
          </w:tcPr>
          <w:p w:rsidR="009520A9" w:rsidRDefault="00770482">
            <w:pPr>
              <w:pStyle w:val="CellColumn"/>
              <w:jc w:val="left"/>
            </w:pPr>
            <w:r>
              <w:rPr>
                <w:rFonts w:cs="Times New Roman"/>
              </w:rPr>
              <w:t>Ukupni broj studenata upisanih u sustav ISVU</w:t>
            </w:r>
          </w:p>
        </w:tc>
        <w:tc>
          <w:tcPr>
            <w:tcW w:w="2245" w:type="dxa"/>
            <w:vAlign w:val="top"/>
          </w:tcPr>
          <w:p w:rsidR="009520A9" w:rsidRDefault="00770482">
            <w:pPr>
              <w:pStyle w:val="CellColumn"/>
              <w:jc w:val="left"/>
            </w:pPr>
            <w:r>
              <w:rPr>
                <w:rFonts w:cs="Times New Roman"/>
              </w:rPr>
              <w:t>Ukupni broj studenata odnosi se na sve aktivne studente upisane u ISVU, a obuhvaća i studente koji studiraju istovremeno na više studija (pri čemu se oni broje kao jedan student).</w:t>
            </w:r>
          </w:p>
        </w:tc>
        <w:tc>
          <w:tcPr>
            <w:tcW w:w="918" w:type="dxa"/>
          </w:tcPr>
          <w:p w:rsidR="009520A9" w:rsidRDefault="00770482">
            <w:pPr>
              <w:jc w:val="center"/>
            </w:pPr>
            <w:r>
              <w:t>broj</w:t>
            </w:r>
          </w:p>
        </w:tc>
        <w:tc>
          <w:tcPr>
            <w:tcW w:w="918" w:type="dxa"/>
          </w:tcPr>
          <w:p w:rsidR="009520A9" w:rsidRDefault="00770482">
            <w:pPr>
              <w:jc w:val="center"/>
            </w:pPr>
            <w:r>
              <w:t>130.000</w:t>
            </w:r>
          </w:p>
        </w:tc>
        <w:tc>
          <w:tcPr>
            <w:tcW w:w="918" w:type="dxa"/>
          </w:tcPr>
          <w:p w:rsidR="009520A9" w:rsidRDefault="00770482">
            <w:pPr>
              <w:pStyle w:val="CellColumn"/>
              <w:jc w:val="center"/>
            </w:pPr>
            <w:r>
              <w:rPr>
                <w:rFonts w:cs="Times New Roman"/>
              </w:rPr>
              <w:t xml:space="preserve">evidencija sustava ISVU </w:t>
            </w:r>
          </w:p>
          <w:p w:rsidR="009520A9" w:rsidRDefault="00770482">
            <w:pPr>
              <w:pStyle w:val="CellColumn"/>
              <w:jc w:val="center"/>
            </w:pPr>
            <w:r>
              <w:rPr>
                <w:rFonts w:cs="Times New Roman"/>
              </w:rPr>
              <w:t xml:space="preserve">(www.isvu.hr/ </w:t>
            </w:r>
          </w:p>
          <w:p w:rsidR="009520A9" w:rsidRDefault="00770482">
            <w:pPr>
              <w:pStyle w:val="CellColumn"/>
              <w:jc w:val="center"/>
            </w:pPr>
            <w:r>
              <w:rPr>
                <w:rFonts w:cs="Times New Roman"/>
              </w:rPr>
              <w:t>sustav/)</w:t>
            </w:r>
          </w:p>
        </w:tc>
        <w:tc>
          <w:tcPr>
            <w:tcW w:w="918" w:type="dxa"/>
          </w:tcPr>
          <w:p w:rsidR="009520A9" w:rsidRDefault="00770482">
            <w:pPr>
              <w:jc w:val="center"/>
            </w:pPr>
            <w:r>
              <w:t>130.000</w:t>
            </w:r>
          </w:p>
        </w:tc>
        <w:tc>
          <w:tcPr>
            <w:tcW w:w="918" w:type="dxa"/>
          </w:tcPr>
          <w:p w:rsidR="009520A9" w:rsidRDefault="00770482">
            <w:pPr>
              <w:jc w:val="center"/>
            </w:pPr>
            <w:r>
              <w:t>130.00</w:t>
            </w:r>
            <w:r>
              <w:t>0</w:t>
            </w:r>
          </w:p>
        </w:tc>
        <w:tc>
          <w:tcPr>
            <w:tcW w:w="918" w:type="dxa"/>
          </w:tcPr>
          <w:p w:rsidR="009520A9" w:rsidRDefault="00770482">
            <w:pPr>
              <w:jc w:val="center"/>
            </w:pPr>
            <w:r>
              <w:t>130.000</w:t>
            </w:r>
          </w:p>
        </w:tc>
      </w:tr>
      <w:tr w:rsidR="009520A9">
        <w:trPr>
          <w:jc w:val="center"/>
        </w:trPr>
        <w:tc>
          <w:tcPr>
            <w:tcW w:w="2245" w:type="dxa"/>
            <w:vAlign w:val="top"/>
          </w:tcPr>
          <w:p w:rsidR="009520A9" w:rsidRDefault="00770482">
            <w:pPr>
              <w:pStyle w:val="CellColumn"/>
              <w:jc w:val="left"/>
            </w:pPr>
            <w:r>
              <w:rPr>
                <w:rFonts w:cs="Times New Roman"/>
              </w:rPr>
              <w:t>Povećanje broja pohranjenih zapisa u sustavu CroRIS</w:t>
            </w:r>
          </w:p>
        </w:tc>
        <w:tc>
          <w:tcPr>
            <w:tcW w:w="2245" w:type="dxa"/>
            <w:vAlign w:val="top"/>
          </w:tcPr>
          <w:p w:rsidR="009520A9" w:rsidRDefault="00770482">
            <w:pPr>
              <w:pStyle w:val="CellColumn"/>
              <w:jc w:val="left"/>
            </w:pPr>
            <w:r>
              <w:rPr>
                <w:rFonts w:cs="Times New Roman"/>
              </w:rPr>
              <w:t>Broj pohranjenih zapisa o znanstvenoj i stručnoj publicistici (knjige, radovi, sudjelovanje na skupovima, ocjenski radovi i sl.) u sustavu CroRIS.</w:t>
            </w:r>
          </w:p>
        </w:tc>
        <w:tc>
          <w:tcPr>
            <w:tcW w:w="918" w:type="dxa"/>
          </w:tcPr>
          <w:p w:rsidR="009520A9" w:rsidRDefault="00770482">
            <w:pPr>
              <w:jc w:val="center"/>
            </w:pPr>
            <w:r>
              <w:t>broj</w:t>
            </w:r>
          </w:p>
        </w:tc>
        <w:tc>
          <w:tcPr>
            <w:tcW w:w="918" w:type="dxa"/>
          </w:tcPr>
          <w:p w:rsidR="009520A9" w:rsidRDefault="00770482">
            <w:pPr>
              <w:jc w:val="center"/>
            </w:pPr>
            <w:r>
              <w:t>800.000</w:t>
            </w:r>
          </w:p>
        </w:tc>
        <w:tc>
          <w:tcPr>
            <w:tcW w:w="918" w:type="dxa"/>
          </w:tcPr>
          <w:p w:rsidR="009520A9" w:rsidRDefault="00770482">
            <w:pPr>
              <w:pStyle w:val="CellColumn"/>
              <w:jc w:val="center"/>
            </w:pPr>
            <w:r>
              <w:rPr>
                <w:rFonts w:cs="Times New Roman"/>
              </w:rPr>
              <w:t>evidencija sustava CroRIS (www.cr</w:t>
            </w:r>
            <w:r>
              <w:rPr>
                <w:rFonts w:cs="Times New Roman"/>
              </w:rPr>
              <w:t>oris.hr)</w:t>
            </w:r>
          </w:p>
        </w:tc>
        <w:tc>
          <w:tcPr>
            <w:tcW w:w="918" w:type="dxa"/>
          </w:tcPr>
          <w:p w:rsidR="009520A9" w:rsidRDefault="00770482">
            <w:pPr>
              <w:jc w:val="center"/>
            </w:pPr>
            <w:r>
              <w:t>810.000</w:t>
            </w:r>
          </w:p>
        </w:tc>
        <w:tc>
          <w:tcPr>
            <w:tcW w:w="918" w:type="dxa"/>
          </w:tcPr>
          <w:p w:rsidR="009520A9" w:rsidRDefault="00770482">
            <w:pPr>
              <w:jc w:val="center"/>
            </w:pPr>
            <w:r>
              <w:t>820.000</w:t>
            </w:r>
          </w:p>
        </w:tc>
        <w:tc>
          <w:tcPr>
            <w:tcW w:w="918" w:type="dxa"/>
          </w:tcPr>
          <w:p w:rsidR="009520A9" w:rsidRDefault="00770482">
            <w:pPr>
              <w:jc w:val="center"/>
            </w:pPr>
            <w:r>
              <w:t>830.000</w:t>
            </w:r>
          </w:p>
        </w:tc>
      </w:tr>
      <w:tr w:rsidR="009520A9">
        <w:trPr>
          <w:jc w:val="center"/>
        </w:trPr>
        <w:tc>
          <w:tcPr>
            <w:tcW w:w="2245" w:type="dxa"/>
            <w:vAlign w:val="top"/>
          </w:tcPr>
          <w:p w:rsidR="009520A9" w:rsidRDefault="00770482">
            <w:pPr>
              <w:pStyle w:val="CellColumn"/>
              <w:jc w:val="left"/>
            </w:pPr>
            <w:r>
              <w:rPr>
                <w:rFonts w:cs="Times New Roman"/>
              </w:rPr>
              <w:t>Ukupni broj objekata u nacionalnoj infrastrukturi za digitalne repozitorije</w:t>
            </w:r>
          </w:p>
        </w:tc>
        <w:tc>
          <w:tcPr>
            <w:tcW w:w="2245" w:type="dxa"/>
            <w:vAlign w:val="top"/>
          </w:tcPr>
          <w:p w:rsidR="009520A9" w:rsidRDefault="00770482">
            <w:pPr>
              <w:pStyle w:val="CellColumn"/>
              <w:jc w:val="left"/>
            </w:pPr>
            <w:r>
              <w:rPr>
                <w:rFonts w:cs="Times New Roman"/>
              </w:rPr>
              <w:t>Ukupni broj objekata uključuje između ostalog završne/diplomske radove, doktorske disertacije, radove objavljene u časopisu, umjetničke ocjenske radove, radove u zbornicima, poglavlja u knjigama, izlaganja na skupovima te audio, slikovne i audiovizualne ob</w:t>
            </w:r>
            <w:r>
              <w:rPr>
                <w:rFonts w:cs="Times New Roman"/>
              </w:rPr>
              <w:t>jekte, skupove podataka, obrazovne sadržaje i virtualne zbirke pohranjene u svim repozitorijima u sustavu Dabar.</w:t>
            </w:r>
          </w:p>
        </w:tc>
        <w:tc>
          <w:tcPr>
            <w:tcW w:w="918" w:type="dxa"/>
          </w:tcPr>
          <w:p w:rsidR="009520A9" w:rsidRDefault="00770482">
            <w:pPr>
              <w:jc w:val="center"/>
            </w:pPr>
            <w:r>
              <w:t>broj</w:t>
            </w:r>
          </w:p>
        </w:tc>
        <w:tc>
          <w:tcPr>
            <w:tcW w:w="918" w:type="dxa"/>
          </w:tcPr>
          <w:p w:rsidR="009520A9" w:rsidRDefault="00770482">
            <w:pPr>
              <w:jc w:val="center"/>
            </w:pPr>
            <w:r>
              <w:t>240.000</w:t>
            </w:r>
          </w:p>
        </w:tc>
        <w:tc>
          <w:tcPr>
            <w:tcW w:w="918" w:type="dxa"/>
          </w:tcPr>
          <w:p w:rsidR="009520A9" w:rsidRDefault="00770482">
            <w:pPr>
              <w:pStyle w:val="CellColumn"/>
              <w:jc w:val="center"/>
            </w:pPr>
            <w:r>
              <w:rPr>
                <w:rFonts w:cs="Times New Roman"/>
              </w:rPr>
              <w:t xml:space="preserve">evidencija sustava Dabar  </w:t>
            </w:r>
          </w:p>
          <w:p w:rsidR="009520A9" w:rsidRDefault="00770482">
            <w:pPr>
              <w:pStyle w:val="CellColumn"/>
              <w:jc w:val="center"/>
            </w:pPr>
            <w:r>
              <w:rPr>
                <w:rFonts w:cs="Times New Roman"/>
              </w:rPr>
              <w:t>(dabar.srce.hr/stats/objects)</w:t>
            </w:r>
          </w:p>
        </w:tc>
        <w:tc>
          <w:tcPr>
            <w:tcW w:w="918" w:type="dxa"/>
          </w:tcPr>
          <w:p w:rsidR="009520A9" w:rsidRDefault="00770482">
            <w:pPr>
              <w:jc w:val="center"/>
            </w:pPr>
            <w:r>
              <w:t>271.000</w:t>
            </w:r>
          </w:p>
        </w:tc>
        <w:tc>
          <w:tcPr>
            <w:tcW w:w="918" w:type="dxa"/>
          </w:tcPr>
          <w:p w:rsidR="009520A9" w:rsidRDefault="00770482">
            <w:pPr>
              <w:jc w:val="center"/>
            </w:pPr>
            <w:r>
              <w:t>303.000</w:t>
            </w:r>
          </w:p>
        </w:tc>
        <w:tc>
          <w:tcPr>
            <w:tcW w:w="918" w:type="dxa"/>
          </w:tcPr>
          <w:p w:rsidR="009520A9" w:rsidRDefault="00770482">
            <w:pPr>
              <w:jc w:val="center"/>
            </w:pPr>
            <w:r>
              <w:t>334.000</w:t>
            </w:r>
          </w:p>
        </w:tc>
      </w:tr>
      <w:tr w:rsidR="009520A9">
        <w:trPr>
          <w:jc w:val="center"/>
        </w:trPr>
        <w:tc>
          <w:tcPr>
            <w:tcW w:w="2245" w:type="dxa"/>
            <w:vAlign w:val="top"/>
          </w:tcPr>
          <w:p w:rsidR="009520A9" w:rsidRDefault="00770482">
            <w:pPr>
              <w:pStyle w:val="CellColumn"/>
              <w:jc w:val="left"/>
            </w:pPr>
            <w:r>
              <w:rPr>
                <w:rFonts w:cs="Times New Roman"/>
              </w:rPr>
              <w:t>Unapređenje obrazovnih programa Srca – novi teča</w:t>
            </w:r>
            <w:r>
              <w:rPr>
                <w:rFonts w:cs="Times New Roman"/>
              </w:rPr>
              <w:t>jevi</w:t>
            </w:r>
          </w:p>
        </w:tc>
        <w:tc>
          <w:tcPr>
            <w:tcW w:w="2245" w:type="dxa"/>
            <w:vAlign w:val="top"/>
          </w:tcPr>
          <w:p w:rsidR="009520A9" w:rsidRDefault="00770482">
            <w:pPr>
              <w:pStyle w:val="CellColumn"/>
              <w:jc w:val="left"/>
            </w:pPr>
            <w:r>
              <w:rPr>
                <w:rFonts w:cs="Times New Roman"/>
              </w:rPr>
              <w:t>Unapređenje obrazovnih programa Srca mjeri se brojem novih tečajeva koji su postali dostupni u Srcu tijekom godine dana, a uključuje on-line i klasične tečajeve za krajnje korisnike.</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evidencija obrazovnih programa Srca</w:t>
            </w:r>
          </w:p>
        </w:tc>
        <w:tc>
          <w:tcPr>
            <w:tcW w:w="918" w:type="dxa"/>
          </w:tcPr>
          <w:p w:rsidR="009520A9" w:rsidRDefault="00770482">
            <w:pPr>
              <w:jc w:val="center"/>
            </w:pPr>
            <w:r>
              <w:t>5</w:t>
            </w:r>
          </w:p>
        </w:tc>
        <w:tc>
          <w:tcPr>
            <w:tcW w:w="918" w:type="dxa"/>
          </w:tcPr>
          <w:p w:rsidR="009520A9" w:rsidRDefault="00770482">
            <w:pPr>
              <w:jc w:val="center"/>
            </w:pPr>
            <w:r>
              <w:t>5</w:t>
            </w:r>
          </w:p>
        </w:tc>
        <w:tc>
          <w:tcPr>
            <w:tcW w:w="918" w:type="dxa"/>
          </w:tcPr>
          <w:p w:rsidR="009520A9" w:rsidRDefault="00770482">
            <w:pPr>
              <w:jc w:val="center"/>
            </w:pPr>
            <w:r>
              <w:t>5</w:t>
            </w:r>
          </w:p>
        </w:tc>
      </w:tr>
      <w:tr w:rsidR="009520A9">
        <w:trPr>
          <w:jc w:val="center"/>
        </w:trPr>
        <w:tc>
          <w:tcPr>
            <w:tcW w:w="2245" w:type="dxa"/>
            <w:vAlign w:val="top"/>
          </w:tcPr>
          <w:p w:rsidR="009520A9" w:rsidRDefault="00770482">
            <w:pPr>
              <w:pStyle w:val="CellColumn"/>
              <w:jc w:val="left"/>
            </w:pPr>
            <w:r>
              <w:rPr>
                <w:rFonts w:cs="Times New Roman"/>
              </w:rPr>
              <w:t>Ukupni broj polazn</w:t>
            </w:r>
            <w:r>
              <w:rPr>
                <w:rFonts w:cs="Times New Roman"/>
              </w:rPr>
              <w:t>ika obrazovnih programa Srca</w:t>
            </w:r>
          </w:p>
        </w:tc>
        <w:tc>
          <w:tcPr>
            <w:tcW w:w="2245" w:type="dxa"/>
            <w:vAlign w:val="top"/>
          </w:tcPr>
          <w:p w:rsidR="009520A9" w:rsidRDefault="00770482">
            <w:pPr>
              <w:pStyle w:val="CellColumn"/>
              <w:jc w:val="left"/>
            </w:pPr>
            <w:r>
              <w:rPr>
                <w:rFonts w:cs="Times New Roman"/>
              </w:rPr>
              <w:t>Ukupni broj polaznika je zbroj svih polaznika prijavljenih na neki od obrazovnih programa Srca za krajnje korisnike (u učionicama ili online).</w:t>
            </w:r>
          </w:p>
        </w:tc>
        <w:tc>
          <w:tcPr>
            <w:tcW w:w="918" w:type="dxa"/>
          </w:tcPr>
          <w:p w:rsidR="009520A9" w:rsidRDefault="00770482">
            <w:pPr>
              <w:jc w:val="center"/>
            </w:pPr>
            <w:r>
              <w:t>broj</w:t>
            </w:r>
          </w:p>
        </w:tc>
        <w:tc>
          <w:tcPr>
            <w:tcW w:w="918" w:type="dxa"/>
          </w:tcPr>
          <w:p w:rsidR="009520A9" w:rsidRDefault="00770482">
            <w:pPr>
              <w:jc w:val="center"/>
            </w:pPr>
            <w:r>
              <w:t>9.700</w:t>
            </w:r>
          </w:p>
        </w:tc>
        <w:tc>
          <w:tcPr>
            <w:tcW w:w="918" w:type="dxa"/>
          </w:tcPr>
          <w:p w:rsidR="009520A9" w:rsidRDefault="00770482">
            <w:pPr>
              <w:pStyle w:val="CellColumn"/>
              <w:jc w:val="center"/>
            </w:pPr>
            <w:r>
              <w:rPr>
                <w:rFonts w:cs="Times New Roman"/>
              </w:rPr>
              <w:t>evidencija sustava Merlin</w:t>
            </w:r>
          </w:p>
        </w:tc>
        <w:tc>
          <w:tcPr>
            <w:tcW w:w="918" w:type="dxa"/>
          </w:tcPr>
          <w:p w:rsidR="009520A9" w:rsidRDefault="00770482">
            <w:pPr>
              <w:jc w:val="center"/>
            </w:pPr>
            <w:r>
              <w:t>9.700</w:t>
            </w:r>
          </w:p>
        </w:tc>
        <w:tc>
          <w:tcPr>
            <w:tcW w:w="918" w:type="dxa"/>
          </w:tcPr>
          <w:p w:rsidR="009520A9" w:rsidRDefault="00770482">
            <w:pPr>
              <w:jc w:val="center"/>
            </w:pPr>
            <w:r>
              <w:t>9.700</w:t>
            </w:r>
          </w:p>
        </w:tc>
        <w:tc>
          <w:tcPr>
            <w:tcW w:w="918" w:type="dxa"/>
          </w:tcPr>
          <w:p w:rsidR="009520A9" w:rsidRDefault="00770482">
            <w:pPr>
              <w:jc w:val="center"/>
            </w:pPr>
            <w:r>
              <w:t>9.700</w:t>
            </w:r>
          </w:p>
        </w:tc>
      </w:tr>
      <w:tr w:rsidR="009520A9">
        <w:trPr>
          <w:jc w:val="center"/>
        </w:trPr>
        <w:tc>
          <w:tcPr>
            <w:tcW w:w="2245" w:type="dxa"/>
            <w:vAlign w:val="top"/>
          </w:tcPr>
          <w:p w:rsidR="009520A9" w:rsidRDefault="00770482">
            <w:pPr>
              <w:pStyle w:val="CellColumn"/>
              <w:jc w:val="left"/>
            </w:pPr>
            <w:r>
              <w:rPr>
                <w:rFonts w:cs="Times New Roman"/>
              </w:rPr>
              <w:t>Broj e-kolegija na sustavu Merlin</w:t>
            </w:r>
          </w:p>
        </w:tc>
        <w:tc>
          <w:tcPr>
            <w:tcW w:w="2245" w:type="dxa"/>
            <w:vAlign w:val="top"/>
          </w:tcPr>
          <w:p w:rsidR="009520A9" w:rsidRDefault="00770482">
            <w:pPr>
              <w:pStyle w:val="CellColumn"/>
              <w:jc w:val="left"/>
            </w:pPr>
            <w:r>
              <w:rPr>
                <w:rFonts w:cs="Times New Roman"/>
              </w:rPr>
              <w:t>Broj e-kolegija odnosi se na broj aktivnih kolegija u sustavu Merlin u akademskoj godini koja je završila u izvještajnom razdoblju.</w:t>
            </w:r>
          </w:p>
        </w:tc>
        <w:tc>
          <w:tcPr>
            <w:tcW w:w="918" w:type="dxa"/>
          </w:tcPr>
          <w:p w:rsidR="009520A9" w:rsidRDefault="00770482">
            <w:pPr>
              <w:jc w:val="center"/>
            </w:pPr>
            <w:r>
              <w:t>broj</w:t>
            </w:r>
          </w:p>
        </w:tc>
        <w:tc>
          <w:tcPr>
            <w:tcW w:w="918" w:type="dxa"/>
          </w:tcPr>
          <w:p w:rsidR="009520A9" w:rsidRDefault="00770482">
            <w:pPr>
              <w:jc w:val="center"/>
            </w:pPr>
            <w:r>
              <w:t>24.500</w:t>
            </w:r>
          </w:p>
        </w:tc>
        <w:tc>
          <w:tcPr>
            <w:tcW w:w="918" w:type="dxa"/>
          </w:tcPr>
          <w:p w:rsidR="009520A9" w:rsidRDefault="00770482">
            <w:pPr>
              <w:pStyle w:val="CellColumn"/>
              <w:jc w:val="center"/>
            </w:pPr>
            <w:r>
              <w:rPr>
                <w:rFonts w:cs="Times New Roman"/>
              </w:rPr>
              <w:t>evidencija sustava Merlin</w:t>
            </w:r>
          </w:p>
        </w:tc>
        <w:tc>
          <w:tcPr>
            <w:tcW w:w="918" w:type="dxa"/>
          </w:tcPr>
          <w:p w:rsidR="009520A9" w:rsidRDefault="00770482">
            <w:pPr>
              <w:jc w:val="center"/>
            </w:pPr>
            <w:r>
              <w:t>25.000</w:t>
            </w:r>
          </w:p>
        </w:tc>
        <w:tc>
          <w:tcPr>
            <w:tcW w:w="918" w:type="dxa"/>
          </w:tcPr>
          <w:p w:rsidR="009520A9" w:rsidRDefault="00770482">
            <w:pPr>
              <w:jc w:val="center"/>
            </w:pPr>
            <w:r>
              <w:t>25.500</w:t>
            </w:r>
          </w:p>
        </w:tc>
        <w:tc>
          <w:tcPr>
            <w:tcW w:w="918" w:type="dxa"/>
          </w:tcPr>
          <w:p w:rsidR="009520A9" w:rsidRDefault="00770482">
            <w:pPr>
              <w:jc w:val="center"/>
            </w:pPr>
            <w:r>
              <w:t>26.600</w:t>
            </w:r>
          </w:p>
        </w:tc>
      </w:tr>
    </w:tbl>
    <w:p w:rsidR="009520A9" w:rsidRDefault="009520A9">
      <w:pPr>
        <w:jc w:val="left"/>
      </w:pPr>
    </w:p>
    <w:p w:rsidR="009520A9" w:rsidRDefault="00770482">
      <w:pPr>
        <w:pStyle w:val="Heading4"/>
      </w:pPr>
      <w:r>
        <w:t>A628018 ADMINISTRACIJA I UPRA</w:t>
      </w:r>
      <w:r>
        <w:t>VLJANJE SVEUČILIŠNOG RAČUNSKOG CENTRA SRCE</w:t>
      </w:r>
    </w:p>
    <w:p w:rsidR="009520A9" w:rsidRDefault="00770482">
      <w:pPr>
        <w:pStyle w:val="Heading8"/>
        <w:jc w:val="left"/>
      </w:pPr>
      <w:r>
        <w:t>Zakonske i druge pravne osnove</w:t>
      </w:r>
    </w:p>
    <w:p w:rsidR="009520A9" w:rsidRDefault="00770482">
      <w:r>
        <w:t>Odluka o osnivanju Sveučilišnog računskog centra; Statut Sveučilišnog računskog centra Sveučilišta u Zagrebu;  Strategija znanosti, obrazovanja i tehnologije – Nove boje znanja; Plan razvoja istraživačke infrastrukture u Republici Hrvatskoj 2023. – 2027; S</w:t>
      </w:r>
      <w:r>
        <w:t>trategija digitalne Hrvatske za razdoblje do 2032. godine.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A628018</w:t>
            </w:r>
          </w:p>
        </w:tc>
        <w:tc>
          <w:tcPr>
            <w:tcW w:w="1632" w:type="dxa"/>
            <w:vAlign w:val="top"/>
          </w:tcPr>
          <w:p w:rsidR="009520A9" w:rsidRDefault="00770482">
            <w:pPr>
              <w:jc w:val="right"/>
            </w:pPr>
            <w:r>
              <w:t>5.120.205</w:t>
            </w:r>
          </w:p>
        </w:tc>
        <w:tc>
          <w:tcPr>
            <w:tcW w:w="1632" w:type="dxa"/>
            <w:vAlign w:val="top"/>
          </w:tcPr>
          <w:p w:rsidR="009520A9" w:rsidRDefault="00770482">
            <w:pPr>
              <w:jc w:val="right"/>
            </w:pPr>
            <w:r>
              <w:t>6.216.918</w:t>
            </w:r>
          </w:p>
        </w:tc>
        <w:tc>
          <w:tcPr>
            <w:tcW w:w="1632" w:type="dxa"/>
            <w:vAlign w:val="top"/>
          </w:tcPr>
          <w:p w:rsidR="009520A9" w:rsidRDefault="00770482">
            <w:pPr>
              <w:jc w:val="right"/>
            </w:pPr>
            <w:r>
              <w:t>7.276.808</w:t>
            </w:r>
          </w:p>
        </w:tc>
        <w:tc>
          <w:tcPr>
            <w:tcW w:w="1632" w:type="dxa"/>
            <w:vAlign w:val="top"/>
          </w:tcPr>
          <w:p w:rsidR="009520A9" w:rsidRDefault="00770482">
            <w:pPr>
              <w:jc w:val="right"/>
            </w:pPr>
            <w:r>
              <w:t>7.656.953</w:t>
            </w:r>
          </w:p>
        </w:tc>
        <w:tc>
          <w:tcPr>
            <w:tcW w:w="1632" w:type="dxa"/>
            <w:vAlign w:val="top"/>
          </w:tcPr>
          <w:p w:rsidR="009520A9" w:rsidRDefault="00770482">
            <w:pPr>
              <w:jc w:val="right"/>
            </w:pPr>
            <w:r>
              <w:t>7.526.219</w:t>
            </w:r>
          </w:p>
        </w:tc>
        <w:tc>
          <w:tcPr>
            <w:tcW w:w="510" w:type="dxa"/>
            <w:vAlign w:val="top"/>
          </w:tcPr>
          <w:p w:rsidR="009520A9" w:rsidRDefault="00770482">
            <w:pPr>
              <w:jc w:val="right"/>
            </w:pPr>
            <w:r>
              <w:t>117,0</w:t>
            </w:r>
          </w:p>
        </w:tc>
      </w:tr>
    </w:tbl>
    <w:p w:rsidR="009520A9" w:rsidRDefault="009520A9">
      <w:pPr>
        <w:jc w:val="left"/>
      </w:pPr>
    </w:p>
    <w:p w:rsidR="009520A9" w:rsidRDefault="00770482">
      <w:r>
        <w:t>U okviru ove aktivnosti, uz ostalo, provode se administracija i upravljanje svim ključnim komponentama nacionalne e-infrastrukture kojima se ostvaruju temeljne funkcije Srca, održavanje obrazovnih programa i obrazovnih sadržaja za krajnje korisnike Srca te</w:t>
      </w:r>
      <w:r>
        <w:t xml:space="preserve"> pružanje podrške korisnicima. Ključne komponente e-infrastrukture kojima se upravlja u okviru ove aktivnosti čine podatkovni centri Srca; računalna i spremišna komponenta (poslužitelji i diskovna spremišta koja čine jezgru e-infrastrukture sustava znanost</w:t>
      </w:r>
      <w:r>
        <w:t>i i visokog obrazovanja), računalni i spremišni  sustavi za napredno računanje, autentikacijski i autorizacijski sustavi i sustavi imenika, informacijski sustavi za potrebe visokog obrazovanja i znanosti, nacionalni informacijski sustavi i digitalni repozi</w:t>
      </w:r>
      <w:r>
        <w:t xml:space="preserve">toriji u području visokog obrazovanja i znanosti, internetske aplikacije i sustavi za e-učenje u visokom obrazovanju. </w:t>
      </w:r>
    </w:p>
    <w:p w:rsidR="009520A9" w:rsidRDefault="00770482">
      <w:r>
        <w:t>U 2024. godini će rezultati uspješno provedenih strateških projekta „Hrvatski znanstveni i obrazovni oblak (HR-ZOO)“ oznaka  KK.01.1.1.08</w:t>
      </w:r>
      <w:r>
        <w:t xml:space="preserve">.0001 i „Znanstveno i tehnologijsko predviđanje“, oznaka KK.01.1.1.03.0001 biti vidljivi kroz rad infrastrukture HR-ZOO koja uključuje i popratne usluge te kroz rad Informacijskog sustava znanosti RH (CroRIS).  </w:t>
      </w:r>
    </w:p>
    <w:p w:rsidR="009520A9" w:rsidRDefault="00770482">
      <w:r>
        <w:t xml:space="preserve"> Sredstva unutar aktivnosti A628018 planiran</w:t>
      </w:r>
      <w:r>
        <w:t xml:space="preserve">a su za: </w:t>
      </w:r>
    </w:p>
    <w:p w:rsidR="009520A9" w:rsidRDefault="00770482">
      <w:r>
        <w:t>1.</w:t>
      </w:r>
      <w:r>
        <w:tab/>
        <w:t>rashode za 165 zaposlenika u iznosu od 73,12 % planiranog proračuna na aktivnosti (bruto plaće u iznosu od 5.078.029 eura, ostali rashodi za zaposlene 104.295 eura, naknade za prijevoz 110.000 eura, stručna usavršavanja 18.600 i naknade građan</w:t>
      </w:r>
      <w:r>
        <w:t xml:space="preserve">ima i kućanstvima 9.954 eura) </w:t>
      </w:r>
    </w:p>
    <w:p w:rsidR="009520A9" w:rsidRDefault="00770482">
      <w:r>
        <w:t>2.</w:t>
      </w:r>
      <w:r>
        <w:tab/>
        <w:t>materijalne rashode u iznosu od 26,88% plana proračuna, od kojih su najznačajniji rashodi za energiju 750.000 eura, usluge tekućeg i investicijskog održavanja postrojenja i opreme u iznosu od 225.000 eura, komunalne i osta</w:t>
      </w:r>
      <w:r>
        <w:t xml:space="preserve">le usluge uključujući i zaštitarske usluge u iznosu od 295.000 eura, zakupnine u iznosu od 350.000 eura (čiji se najveći dio odnosi na godišnje zakupnine licencije za softver za provjeru autentičnosti radova u visokom obrazovanju i znanosti) i članarine u </w:t>
      </w:r>
      <w:r>
        <w:t>međunarodnim organizacijama u iznosu od 47.500 eura.</w:t>
      </w:r>
    </w:p>
    <w:p w:rsidR="009520A9" w:rsidRDefault="00770482">
      <w:pPr>
        <w:pStyle w:val="Heading4"/>
      </w:pPr>
      <w:r>
        <w:t>A628084 ADMINISTRACIJA I UPRAVLJANJE SVEUČILIŠNOG RAČUNSKOG CENTRA SRCE  (IZ EVIDENCIJSKIH PRIHODA)</w:t>
      </w:r>
    </w:p>
    <w:p w:rsidR="009520A9" w:rsidRDefault="00770482">
      <w:pPr>
        <w:pStyle w:val="Heading8"/>
        <w:jc w:val="left"/>
      </w:pPr>
      <w:r>
        <w:t>Zakonske i druge pravne osnove</w:t>
      </w:r>
    </w:p>
    <w:p w:rsidR="009520A9" w:rsidRDefault="00770482">
      <w:r>
        <w:t>Odluka o osnivanju Sveučilišnog računskog centra; Statut Sveučilišnog ra</w:t>
      </w:r>
      <w:r>
        <w:t xml:space="preserve">čunskog centra Sveučilišta u Zagrebu; Strategija znanosti, obrazovanja i tehnologije – Nove boje znanja; Nacionalna strategija kibernetičke sigurnosti. </w:t>
      </w:r>
    </w:p>
    <w:p w:rsidR="009520A9" w:rsidRDefault="00770482">
      <w:r>
        <w:t>Pravilnik Croatian Internet Exchangea (ClX-a) nacionalnog središta za međusobnu razmjenu Internetskog p</w:t>
      </w:r>
      <w:r>
        <w:t>rometa, ugovori o članstvu i korištenju usluga CIX-a (38 ugovora), ugovori o udomljavanju opreme (13 ugovora) i ugovori za sistemsko održavanje poslužitelja (11 ugovora).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A628084</w:t>
            </w:r>
          </w:p>
        </w:tc>
        <w:tc>
          <w:tcPr>
            <w:tcW w:w="1632" w:type="dxa"/>
            <w:vAlign w:val="top"/>
          </w:tcPr>
          <w:p w:rsidR="009520A9" w:rsidRDefault="00770482">
            <w:pPr>
              <w:jc w:val="right"/>
            </w:pPr>
            <w:r>
              <w:t>1.458.290</w:t>
            </w:r>
          </w:p>
        </w:tc>
        <w:tc>
          <w:tcPr>
            <w:tcW w:w="1632" w:type="dxa"/>
            <w:vAlign w:val="top"/>
          </w:tcPr>
          <w:p w:rsidR="009520A9" w:rsidRDefault="00770482">
            <w:pPr>
              <w:jc w:val="right"/>
            </w:pPr>
            <w:r>
              <w:t>2.224.788</w:t>
            </w:r>
          </w:p>
        </w:tc>
        <w:tc>
          <w:tcPr>
            <w:tcW w:w="1632" w:type="dxa"/>
            <w:vAlign w:val="top"/>
          </w:tcPr>
          <w:p w:rsidR="009520A9" w:rsidRDefault="00770482">
            <w:pPr>
              <w:jc w:val="right"/>
            </w:pPr>
            <w:r>
              <w:t>2.348.556</w:t>
            </w:r>
          </w:p>
        </w:tc>
        <w:tc>
          <w:tcPr>
            <w:tcW w:w="1632" w:type="dxa"/>
            <w:vAlign w:val="top"/>
          </w:tcPr>
          <w:p w:rsidR="009520A9" w:rsidRDefault="00770482">
            <w:pPr>
              <w:jc w:val="right"/>
            </w:pPr>
            <w:r>
              <w:t>2.099.670</w:t>
            </w:r>
          </w:p>
        </w:tc>
        <w:tc>
          <w:tcPr>
            <w:tcW w:w="1632" w:type="dxa"/>
            <w:vAlign w:val="top"/>
          </w:tcPr>
          <w:p w:rsidR="009520A9" w:rsidRDefault="00770482">
            <w:pPr>
              <w:jc w:val="right"/>
            </w:pPr>
            <w:r>
              <w:t>2.088.133</w:t>
            </w:r>
          </w:p>
        </w:tc>
        <w:tc>
          <w:tcPr>
            <w:tcW w:w="510" w:type="dxa"/>
            <w:vAlign w:val="top"/>
          </w:tcPr>
          <w:p w:rsidR="009520A9" w:rsidRDefault="00770482">
            <w:pPr>
              <w:jc w:val="right"/>
            </w:pPr>
            <w:r>
              <w:t>105,6</w:t>
            </w:r>
          </w:p>
        </w:tc>
      </w:tr>
    </w:tbl>
    <w:p w:rsidR="009520A9" w:rsidRDefault="009520A9">
      <w:pPr>
        <w:jc w:val="left"/>
      </w:pPr>
    </w:p>
    <w:p w:rsidR="009520A9" w:rsidRDefault="00770482">
      <w:r>
        <w:t>U okviru ove aktivnosti provode se administracija i upravljanje dodatnim IKT infrastrukturama (Croatian Internet Exchange (CIX), GEANT PoP, akademski roaming-sustav bežičnog pristupa Internetu eduroam te računalno-komunikacijske infrastrukture Znanstveno-u</w:t>
      </w:r>
      <w:r>
        <w:t xml:space="preserve">čilišnog kampusa Borongaj). U okviru ove aktivnosti također se održavaju obrazovni programi Srca te specijalizirane službe podrške za IT specijaliste. </w:t>
      </w:r>
    </w:p>
    <w:p w:rsidR="009520A9" w:rsidRDefault="00770482">
      <w:r>
        <w:t xml:space="preserve">Sredstva unutar aktivnosti A628084 planirana su za: </w:t>
      </w:r>
    </w:p>
    <w:p w:rsidR="009520A9" w:rsidRDefault="00770482">
      <w:r>
        <w:t>1. rashode za zaposlene u iznosu od 62,00 % planira</w:t>
      </w:r>
      <w:r>
        <w:t xml:space="preserve">nog proračuna na aktivnosti (bruto plaće 1.308.024 eura, ostali rashodi za zaposlene 156.000 eura, naknade za prijevoz 5.000 eura, stručna osposobljavanja zaposlenika 32.000 eura)  </w:t>
      </w:r>
    </w:p>
    <w:p w:rsidR="009520A9" w:rsidRDefault="00770482">
      <w:r>
        <w:t xml:space="preserve">2. materijalne rashode koji iznose 38,00% ukupnog planiranog proračuna na </w:t>
      </w:r>
      <w:r>
        <w:t xml:space="preserve">aktivnosti, a koji uključuju najamnine u iznosu od 76.5000 eura, intelektualne usluge u iznosu od 48.313 eura, službena putovanja u iznosu od 70.000 eura i druge materijalne troškove. </w:t>
      </w:r>
    </w:p>
    <w:p w:rsidR="009520A9" w:rsidRDefault="00770482">
      <w:r>
        <w:t>3. nužna redovna i izvanredna zamjena i nadogradnja dotrajale ili zasta</w:t>
      </w:r>
      <w:r>
        <w:t>rjele kapitalne opreme (preklopnici, diskovna spremišta, poslužitelji i računalna oprema) kojom se ostvaruju dodatne aktivnosti Srca, čime se osigurava kontinuitet i razvoj dodatnih usluga Srca. U okviru te aktivnosti realiziraju se i dodatna ulaganja u zg</w:t>
      </w:r>
      <w:r>
        <w:t>radu i postrojenja u zgradi Srca.</w:t>
      </w:r>
    </w:p>
    <w:p w:rsidR="009520A9" w:rsidRDefault="00770482">
      <w:pPr>
        <w:pStyle w:val="Heading4"/>
      </w:pPr>
      <w:r>
        <w:t>A628098 PRAVOMOĆNE SUDSKE PRESUDE</w:t>
      </w:r>
    </w:p>
    <w:p w:rsidR="009520A9" w:rsidRDefault="00770482">
      <w:pPr>
        <w:pStyle w:val="Heading8"/>
        <w:jc w:val="left"/>
      </w:pPr>
      <w:r>
        <w:t>Zakonske i druge pravne osnove</w:t>
      </w:r>
    </w:p>
    <w:p w:rsidR="009520A9" w:rsidRDefault="00770482">
      <w:r>
        <w:t>Zakon o visokom obrazovanju i znanstvenoj djelatnosti, Uredba o nazivima radnih mjesta i koeficijentima složenosti poslova u javnim službama, Temeljni kolekt</w:t>
      </w:r>
      <w:r>
        <w:t>ivni ugovor za službenike i namještenike u javnim službama, Kolektivni ugovor za znanost i visoko obrazovanje</w:t>
      </w:r>
    </w:p>
    <w:tbl>
      <w:tblPr>
        <w:tblStyle w:val="StilTablice"/>
        <w:tblW w:w="10206" w:type="dxa"/>
        <w:jc w:val="center"/>
        <w:tblLook w:val="04A0" w:firstRow="1" w:lastRow="0" w:firstColumn="1" w:lastColumn="0" w:noHBand="0" w:noVBand="1"/>
      </w:tblPr>
      <w:tblGrid>
        <w:gridCol w:w="1477"/>
        <w:gridCol w:w="1566"/>
        <w:gridCol w:w="1559"/>
        <w:gridCol w:w="1550"/>
        <w:gridCol w:w="1542"/>
        <w:gridCol w:w="1542"/>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A628098</w:t>
            </w:r>
          </w:p>
        </w:tc>
        <w:tc>
          <w:tcPr>
            <w:tcW w:w="1632" w:type="dxa"/>
            <w:vAlign w:val="top"/>
          </w:tcPr>
          <w:p w:rsidR="009520A9" w:rsidRDefault="00770482">
            <w:pPr>
              <w:jc w:val="right"/>
            </w:pPr>
            <w:r>
              <w:t>00</w:t>
            </w:r>
          </w:p>
        </w:tc>
        <w:tc>
          <w:tcPr>
            <w:tcW w:w="1632" w:type="dxa"/>
            <w:vAlign w:val="top"/>
          </w:tcPr>
          <w:p w:rsidR="009520A9" w:rsidRDefault="00770482">
            <w:pPr>
              <w:jc w:val="right"/>
            </w:pPr>
            <w:r>
              <w:t>176.550</w:t>
            </w:r>
          </w:p>
        </w:tc>
        <w:tc>
          <w:tcPr>
            <w:tcW w:w="1632" w:type="dxa"/>
            <w:vAlign w:val="top"/>
          </w:tcPr>
          <w:p w:rsidR="009520A9" w:rsidRDefault="00770482">
            <w:pPr>
              <w:jc w:val="right"/>
            </w:pPr>
            <w:r>
              <w:t>99.620</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510" w:type="dxa"/>
            <w:vAlign w:val="top"/>
          </w:tcPr>
          <w:p w:rsidR="009520A9" w:rsidRDefault="00770482">
            <w:pPr>
              <w:jc w:val="right"/>
            </w:pPr>
            <w:r>
              <w:t>56,4</w:t>
            </w:r>
          </w:p>
        </w:tc>
      </w:tr>
    </w:tbl>
    <w:p w:rsidR="009520A9" w:rsidRDefault="009520A9">
      <w:pPr>
        <w:jc w:val="left"/>
      </w:pPr>
    </w:p>
    <w:p w:rsidR="009520A9" w:rsidRDefault="00770482">
      <w:r>
        <w:t>Sredstva su planirana za isplate pravomoćnih sudskih presuda koje su podnijeli zaposlenici Srca za isplate razlika plaća za razdoblje 2015.-2017.</w:t>
      </w:r>
    </w:p>
    <w:p w:rsidR="009520A9" w:rsidRDefault="00770482">
      <w:pPr>
        <w:pStyle w:val="Heading4"/>
      </w:pPr>
      <w:r>
        <w:t>A628099 USPOSTAVA DIGITALNOG INOVACIJSKOG SREDIŠTA U HRVATSKOJ – CROBOHUB – NPOO ( C1.1.2. R4-I1)</w:t>
      </w:r>
    </w:p>
    <w:p w:rsidR="009520A9" w:rsidRDefault="00770482">
      <w:pPr>
        <w:pStyle w:val="Heading8"/>
        <w:jc w:val="left"/>
      </w:pPr>
      <w:r>
        <w:t>Zakonske i druge pravne osnove</w:t>
      </w:r>
    </w:p>
    <w:p w:rsidR="009520A9" w:rsidRDefault="00770482">
      <w:r>
        <w:t>Ugovor o dodjeli bespovratnih sredstava (Grant Agreement – GA) za projekt CROBOHUBplusplus - 101083599, kojim Europska komisija sufinancira provedbu projekta u visini 50 % njegove vrijednosti iz programa Digitalna Europa. Ugo</w:t>
      </w:r>
      <w:r>
        <w:t>vor o dodjeli bespovratnih sredstava za provedbu aktivnosti Europskih digitalnih inovacijskih centara kojim Ministarstvo gospodarstva i održivog razvoja osigurava sredstva u visini 50% vrijednosti projekta na temelju Nacionalnog plana za oporavak i otporno</w:t>
      </w:r>
      <w:r>
        <w:t>st 2021.-2026, komponente C1. GOSPODARSTVO, pod-komponente C1.1. Otporno, zeleno i digitalno gospodarstvo, investicije C1.1.2. R4-I1 Podrška za digitalne centre za inovacije. Konzorcijski sporazum o sudjelovanju na pripremi i provedbi projekta CROBOHUB++ k</w:t>
      </w:r>
      <w:r>
        <w:t>ojim se uređuju odnosi hrvatskih ustanova, partnera na projektu pod vodstvom Fakulteta elektrotehnike i računarstva Sveučilišta u Zagrebu.</w:t>
      </w:r>
    </w:p>
    <w:tbl>
      <w:tblPr>
        <w:tblStyle w:val="StilTablice"/>
        <w:tblW w:w="10206" w:type="dxa"/>
        <w:jc w:val="center"/>
        <w:tblLook w:val="04A0" w:firstRow="1" w:lastRow="0" w:firstColumn="1" w:lastColumn="0" w:noHBand="0" w:noVBand="1"/>
      </w:tblPr>
      <w:tblGrid>
        <w:gridCol w:w="1478"/>
        <w:gridCol w:w="1566"/>
        <w:gridCol w:w="1542"/>
        <w:gridCol w:w="1550"/>
        <w:gridCol w:w="1550"/>
        <w:gridCol w:w="1550"/>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A628099</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1632" w:type="dxa"/>
            <w:vAlign w:val="top"/>
          </w:tcPr>
          <w:p w:rsidR="009520A9" w:rsidRDefault="00770482">
            <w:pPr>
              <w:jc w:val="right"/>
            </w:pPr>
            <w:r>
              <w:t>32.646</w:t>
            </w:r>
          </w:p>
        </w:tc>
        <w:tc>
          <w:tcPr>
            <w:tcW w:w="1632" w:type="dxa"/>
            <w:vAlign w:val="top"/>
          </w:tcPr>
          <w:p w:rsidR="009520A9" w:rsidRDefault="00770482">
            <w:pPr>
              <w:jc w:val="right"/>
            </w:pPr>
            <w:r>
              <w:t>33.482</w:t>
            </w:r>
          </w:p>
        </w:tc>
        <w:tc>
          <w:tcPr>
            <w:tcW w:w="1632" w:type="dxa"/>
            <w:vAlign w:val="top"/>
          </w:tcPr>
          <w:p w:rsidR="009520A9" w:rsidRDefault="00770482">
            <w:pPr>
              <w:jc w:val="right"/>
            </w:pPr>
            <w:r>
              <w:t>25.112</w:t>
            </w:r>
          </w:p>
        </w:tc>
        <w:tc>
          <w:tcPr>
            <w:tcW w:w="510" w:type="dxa"/>
            <w:vAlign w:val="top"/>
          </w:tcPr>
          <w:p w:rsidR="009520A9" w:rsidRDefault="00770482">
            <w:pPr>
              <w:jc w:val="right"/>
            </w:pPr>
            <w:r>
              <w:t>0,0</w:t>
            </w:r>
          </w:p>
        </w:tc>
      </w:tr>
    </w:tbl>
    <w:p w:rsidR="009520A9" w:rsidRDefault="009520A9">
      <w:pPr>
        <w:jc w:val="left"/>
      </w:pPr>
    </w:p>
    <w:p w:rsidR="009520A9" w:rsidRDefault="00770482">
      <w:r>
        <w:t>EDIH CROBOHUB++ (European Digital Innovation HUB CROatian Industry and Society BOosting) je projekt uspostave digitalnog inovacijskog središta u Hrvatskoj, koji će nuditi usluge iz triju ključnih područja: umjetna inteligencija, kiberne</w:t>
      </w:r>
      <w:r>
        <w:t xml:space="preserve">tička sigurnost i računarstvo visokih performansi, a predstavljat će središnje mjesto za pružanje potpore malim i srednjim poduzećima koja žele iskoristiti mogućnosti digitalne i zelene transformacije za razvoj svojeg poslovanja. U okviru projekta Srcu je </w:t>
      </w:r>
      <w:r>
        <w:t xml:space="preserve">povjereno pružanje podrške u području računarstva visokih performansi, uključujući pristup znanju i tehnologijama Hrvatskog centra kompetencija za HPC. </w:t>
      </w:r>
    </w:p>
    <w:p w:rsidR="009520A9" w:rsidRDefault="00770482">
      <w:r>
        <w:t xml:space="preserve">Srce će tijekom 2024. godine organizirati niz edukacija o ključnim aspektima, prednostima i praktičnim </w:t>
      </w:r>
      <w:r>
        <w:t>načinima korištenja naprednog računanja, na tri razine (uvodna, početna i napredna), ovisno o razini predznanja i potreba korisnika. Također, Srce će preuzeti ulogu posrednika u umrežavanju između primatelja i pružatelja HPC resursa te će korisnicima pruža</w:t>
      </w:r>
      <w:r>
        <w:t>ti podršku u pristupu mreži eksperata i podršku u pristupu HPC resursima. Naprednim korisnicima iz gospodarstva i javnog sektora Srce će pružiti savjetodavne usluge omogućujući pri tom pristup ekspertizi iz područja digitalne transformacije, uključujući HP</w:t>
      </w:r>
      <w:r>
        <w:t>C okruženje za testiranja-prije-ulaganja i eksperimentiranja s HPC resursima.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81"/>
        <w:gridCol w:w="2280"/>
        <w:gridCol w:w="932"/>
        <w:gridCol w:w="932"/>
        <w:gridCol w:w="985"/>
        <w:gridCol w:w="932"/>
        <w:gridCol w:w="932"/>
        <w:gridCol w:w="932"/>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malih i srednjih poduzeća kojima je pružena podrška u primjeni naprednog računanja</w:t>
            </w:r>
          </w:p>
        </w:tc>
        <w:tc>
          <w:tcPr>
            <w:tcW w:w="2245" w:type="dxa"/>
            <w:vAlign w:val="top"/>
          </w:tcPr>
          <w:p w:rsidR="009520A9" w:rsidRDefault="00770482">
            <w:pPr>
              <w:pStyle w:val="CellColumn"/>
              <w:jc w:val="left"/>
            </w:pPr>
            <w:r>
              <w:rPr>
                <w:rFonts w:cs="Times New Roman"/>
              </w:rPr>
              <w:t>Broj malih i srednja poduzeća koji su korisnici usluga naprednog računanja Svaka se pojedina ustanova računa samo jednom neovisno o broju usluga koje koristi.</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E</w:t>
            </w:r>
            <w:r>
              <w:rPr>
                <w:rFonts w:cs="Times New Roman"/>
              </w:rPr>
              <w:t>videncija projekta</w:t>
            </w:r>
          </w:p>
        </w:tc>
        <w:tc>
          <w:tcPr>
            <w:tcW w:w="918" w:type="dxa"/>
          </w:tcPr>
          <w:p w:rsidR="009520A9" w:rsidRDefault="00770482">
            <w:pPr>
              <w:jc w:val="center"/>
            </w:pPr>
            <w:r>
              <w:t>70</w:t>
            </w:r>
          </w:p>
        </w:tc>
        <w:tc>
          <w:tcPr>
            <w:tcW w:w="918" w:type="dxa"/>
          </w:tcPr>
          <w:p w:rsidR="009520A9" w:rsidRDefault="00770482">
            <w:pPr>
              <w:jc w:val="center"/>
            </w:pPr>
            <w:r>
              <w:t>100</w:t>
            </w:r>
          </w:p>
        </w:tc>
        <w:tc>
          <w:tcPr>
            <w:tcW w:w="918" w:type="dxa"/>
          </w:tcPr>
          <w:p w:rsidR="009520A9" w:rsidRDefault="00770482">
            <w:pPr>
              <w:jc w:val="center"/>
            </w:pPr>
            <w:r>
              <w:t>-</w:t>
            </w:r>
          </w:p>
        </w:tc>
      </w:tr>
      <w:tr w:rsidR="009520A9">
        <w:trPr>
          <w:jc w:val="center"/>
        </w:trPr>
        <w:tc>
          <w:tcPr>
            <w:tcW w:w="2245" w:type="dxa"/>
            <w:vAlign w:val="top"/>
          </w:tcPr>
          <w:p w:rsidR="009520A9" w:rsidRDefault="00770482">
            <w:pPr>
              <w:pStyle w:val="CellColumn"/>
              <w:jc w:val="left"/>
            </w:pPr>
            <w:r>
              <w:rPr>
                <w:rFonts w:cs="Times New Roman"/>
              </w:rPr>
              <w:t>Broj javnih ustanova kojima je pružena podrška u primjeni naprednog računanja</w:t>
            </w:r>
          </w:p>
        </w:tc>
        <w:tc>
          <w:tcPr>
            <w:tcW w:w="2245" w:type="dxa"/>
            <w:vAlign w:val="top"/>
          </w:tcPr>
          <w:p w:rsidR="009520A9" w:rsidRDefault="00770482">
            <w:pPr>
              <w:pStyle w:val="CellColumn"/>
              <w:jc w:val="left"/>
            </w:pPr>
            <w:r>
              <w:rPr>
                <w:rFonts w:cs="Times New Roman"/>
              </w:rPr>
              <w:t xml:space="preserve">Broj javnih ustanova koje su korisnici usluga naprednog računanja.  </w:t>
            </w:r>
          </w:p>
          <w:p w:rsidR="009520A9" w:rsidRDefault="00770482">
            <w:pPr>
              <w:pStyle w:val="CellColumn"/>
              <w:jc w:val="left"/>
            </w:pPr>
            <w:r>
              <w:rPr>
                <w:rFonts w:cs="Times New Roman"/>
              </w:rPr>
              <w:t>Svaka se pojedina ustanova računa samo jednom neovisno o broju usluga koje koristi.</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Evidencija projekta</w:t>
            </w:r>
          </w:p>
        </w:tc>
        <w:tc>
          <w:tcPr>
            <w:tcW w:w="918" w:type="dxa"/>
          </w:tcPr>
          <w:p w:rsidR="009520A9" w:rsidRDefault="00770482">
            <w:pPr>
              <w:jc w:val="center"/>
            </w:pPr>
            <w:r>
              <w:t>10</w:t>
            </w:r>
          </w:p>
        </w:tc>
        <w:tc>
          <w:tcPr>
            <w:tcW w:w="918" w:type="dxa"/>
          </w:tcPr>
          <w:p w:rsidR="009520A9" w:rsidRDefault="00770482">
            <w:pPr>
              <w:jc w:val="center"/>
            </w:pPr>
            <w:r>
              <w:t>10</w:t>
            </w:r>
          </w:p>
        </w:tc>
        <w:tc>
          <w:tcPr>
            <w:tcW w:w="918" w:type="dxa"/>
          </w:tcPr>
          <w:p w:rsidR="009520A9" w:rsidRDefault="00770482">
            <w:pPr>
              <w:jc w:val="center"/>
            </w:pPr>
            <w:r>
              <w:t>-</w:t>
            </w:r>
          </w:p>
        </w:tc>
      </w:tr>
    </w:tbl>
    <w:p w:rsidR="009520A9" w:rsidRDefault="009520A9">
      <w:pPr>
        <w:jc w:val="left"/>
      </w:pPr>
    </w:p>
    <w:p w:rsidR="009520A9" w:rsidRDefault="00770482">
      <w:pPr>
        <w:pStyle w:val="Heading4"/>
      </w:pPr>
      <w:r>
        <w:t>K628055 SRCE -IZRAVNA KAPITALNA ULAGANJA</w:t>
      </w:r>
    </w:p>
    <w:p w:rsidR="009520A9" w:rsidRDefault="00770482">
      <w:pPr>
        <w:pStyle w:val="Heading8"/>
        <w:jc w:val="left"/>
      </w:pPr>
      <w:r>
        <w:t>Zakonske i druge pravne osnove</w:t>
      </w:r>
    </w:p>
    <w:p w:rsidR="009520A9" w:rsidRDefault="00770482">
      <w:r>
        <w:t>Odluka o osnivanju Sveučilišnog računskog centra; Statut Sveuči</w:t>
      </w:r>
      <w:r>
        <w:t>lišnog računskog centra Sveučilišta u Zagrebu; Strategija znanosti, obrazovanja i tehnologije – Nove boje znanja; Plan razvoja istraživačke infrastrukture u Republici Hrvatskoj 2023. – 2027.</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K628055</w:t>
            </w:r>
          </w:p>
        </w:tc>
        <w:tc>
          <w:tcPr>
            <w:tcW w:w="1632" w:type="dxa"/>
            <w:vAlign w:val="top"/>
          </w:tcPr>
          <w:p w:rsidR="009520A9" w:rsidRDefault="00770482">
            <w:pPr>
              <w:jc w:val="right"/>
            </w:pPr>
            <w:r>
              <w:t>413.181</w:t>
            </w:r>
          </w:p>
        </w:tc>
        <w:tc>
          <w:tcPr>
            <w:tcW w:w="1632" w:type="dxa"/>
            <w:vAlign w:val="top"/>
          </w:tcPr>
          <w:p w:rsidR="009520A9" w:rsidRDefault="00770482">
            <w:pPr>
              <w:jc w:val="right"/>
            </w:pPr>
            <w:r>
              <w:t>432.936</w:t>
            </w:r>
          </w:p>
        </w:tc>
        <w:tc>
          <w:tcPr>
            <w:tcW w:w="1632" w:type="dxa"/>
            <w:vAlign w:val="top"/>
          </w:tcPr>
          <w:p w:rsidR="009520A9" w:rsidRDefault="00770482">
            <w:pPr>
              <w:jc w:val="right"/>
            </w:pPr>
            <w:r>
              <w:t>622.574</w:t>
            </w:r>
          </w:p>
        </w:tc>
        <w:tc>
          <w:tcPr>
            <w:tcW w:w="1632" w:type="dxa"/>
            <w:vAlign w:val="top"/>
          </w:tcPr>
          <w:p w:rsidR="009520A9" w:rsidRDefault="00770482">
            <w:pPr>
              <w:jc w:val="right"/>
            </w:pPr>
            <w:r>
              <w:t>487.802</w:t>
            </w:r>
          </w:p>
        </w:tc>
        <w:tc>
          <w:tcPr>
            <w:tcW w:w="1632" w:type="dxa"/>
            <w:vAlign w:val="top"/>
          </w:tcPr>
          <w:p w:rsidR="009520A9" w:rsidRDefault="00770482">
            <w:pPr>
              <w:jc w:val="right"/>
            </w:pPr>
            <w:r>
              <w:t>464.500</w:t>
            </w:r>
          </w:p>
        </w:tc>
        <w:tc>
          <w:tcPr>
            <w:tcW w:w="510" w:type="dxa"/>
            <w:vAlign w:val="top"/>
          </w:tcPr>
          <w:p w:rsidR="009520A9" w:rsidRDefault="00770482">
            <w:pPr>
              <w:jc w:val="right"/>
            </w:pPr>
            <w:r>
              <w:t>143,8</w:t>
            </w:r>
          </w:p>
        </w:tc>
      </w:tr>
    </w:tbl>
    <w:p w:rsidR="009520A9" w:rsidRDefault="009520A9">
      <w:pPr>
        <w:jc w:val="left"/>
      </w:pPr>
    </w:p>
    <w:p w:rsidR="009520A9" w:rsidRDefault="00770482">
      <w:r>
        <w:t>Svrha ove aktivnosti je osigurati stabilnost e-infrastrukture, odnosno pouzdanost rada svih hardverskih i softverskih sustava u nadležnosti Srca, pa se u okviru aktivnosti provodi nužna redovna i izvanredna zamjena i nadogradnja dotrajale ili zastarjele ka</w:t>
      </w:r>
      <w:r>
        <w:t xml:space="preserve">pitalne opreme (uredska, računalna i periferna oprema) kojom se ostvaruju temeljne aktivnosti Srca, a čime se osigurava kontinuitet poslovanja Srca te stabilan rad i unapređenje usluga Srca.  </w:t>
      </w:r>
    </w:p>
    <w:p w:rsidR="009520A9" w:rsidRDefault="00770482">
      <w:r>
        <w:t xml:space="preserve">Ta aktivnost uključuje i ulaganja u zgrade vezana uz zamjene i </w:t>
      </w:r>
      <w:r>
        <w:t>nadogradnje postrojenja i tehničkih sustava (klimatizacijskog, kanalizacijskog, protupožarnog, vatrodojavnog i drugih).</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w:t>
            </w:r>
            <w:r>
              <w:rPr>
                <w:rFonts w:cs="Times New Roman"/>
              </w:rPr>
              <w:t>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Postotak realiziranih zamjena ili nadogradnji opreme kojom se ostvaruju temeljne aktivnosti Srca, planiranih u tekućoj godini zbog dotrajalosti, zastarjelosti ili nedovoljnih resursa</w:t>
            </w:r>
          </w:p>
        </w:tc>
        <w:tc>
          <w:tcPr>
            <w:tcW w:w="2245" w:type="dxa"/>
            <w:vAlign w:val="top"/>
          </w:tcPr>
          <w:p w:rsidR="009520A9" w:rsidRDefault="00770482">
            <w:pPr>
              <w:pStyle w:val="CellColumn"/>
              <w:jc w:val="left"/>
            </w:pPr>
            <w:r>
              <w:rPr>
                <w:rFonts w:cs="Times New Roman"/>
              </w:rPr>
              <w:t>Postotak realiziranih zamjena ili nadogradnji računa se kao omjer ostvarene i planirane vrijednosti nabave opreme.</w:t>
            </w:r>
          </w:p>
        </w:tc>
        <w:tc>
          <w:tcPr>
            <w:tcW w:w="918" w:type="dxa"/>
          </w:tcPr>
          <w:p w:rsidR="009520A9" w:rsidRDefault="00770482">
            <w:pPr>
              <w:jc w:val="center"/>
            </w:pPr>
            <w:r>
              <w:t>%</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Srce</w:t>
            </w:r>
          </w:p>
        </w:tc>
        <w:tc>
          <w:tcPr>
            <w:tcW w:w="918" w:type="dxa"/>
          </w:tcPr>
          <w:p w:rsidR="009520A9" w:rsidRDefault="00770482">
            <w:pPr>
              <w:jc w:val="center"/>
            </w:pPr>
            <w:r>
              <w:t>100</w:t>
            </w:r>
          </w:p>
        </w:tc>
        <w:tc>
          <w:tcPr>
            <w:tcW w:w="918" w:type="dxa"/>
          </w:tcPr>
          <w:p w:rsidR="009520A9" w:rsidRDefault="00770482">
            <w:pPr>
              <w:jc w:val="center"/>
            </w:pPr>
            <w:r>
              <w:t>100</w:t>
            </w:r>
          </w:p>
        </w:tc>
        <w:tc>
          <w:tcPr>
            <w:tcW w:w="918" w:type="dxa"/>
          </w:tcPr>
          <w:p w:rsidR="009520A9" w:rsidRDefault="00770482">
            <w:pPr>
              <w:jc w:val="center"/>
            </w:pPr>
            <w:r>
              <w:t>100</w:t>
            </w:r>
          </w:p>
        </w:tc>
      </w:tr>
    </w:tbl>
    <w:p w:rsidR="009520A9" w:rsidRDefault="009520A9">
      <w:pPr>
        <w:jc w:val="left"/>
      </w:pPr>
    </w:p>
    <w:p w:rsidR="009520A9" w:rsidRDefault="00770482">
      <w:pPr>
        <w:pStyle w:val="Heading4"/>
      </w:pPr>
      <w:r>
        <w:t>K628094 INFORMACIJSKI SUSTAVI EVIDENCIJA U VISOKOM OBRAZOVANJU - ISEVO - NPOO (C3.1.R2-I1)</w:t>
      </w:r>
    </w:p>
    <w:p w:rsidR="009520A9" w:rsidRDefault="00770482">
      <w:pPr>
        <w:pStyle w:val="Heading8"/>
        <w:jc w:val="left"/>
      </w:pPr>
      <w:r>
        <w:t>Zakonske i druge pravne osnove</w:t>
      </w:r>
    </w:p>
    <w:p w:rsidR="009520A9" w:rsidRDefault="00770482">
      <w:r>
        <w:t>Partnerski sporazum o sudjelovanju na pripremi i provedbi projekta “Digitalna preobrazba visokog obrazovanja e-Sveučilišta” u okviru Nacionalnog plana oporavka i otpornosti (NPOO) 2021. - 2026., oznaka C.3.1. R2-I1.</w:t>
      </w:r>
    </w:p>
    <w:tbl>
      <w:tblPr>
        <w:tblStyle w:val="StilTablice"/>
        <w:tblW w:w="10206" w:type="dxa"/>
        <w:jc w:val="center"/>
        <w:tblLook w:val="04A0" w:firstRow="1" w:lastRow="0" w:firstColumn="1" w:lastColumn="0" w:noHBand="0" w:noVBand="1"/>
      </w:tblPr>
      <w:tblGrid>
        <w:gridCol w:w="1469"/>
        <w:gridCol w:w="1558"/>
        <w:gridCol w:w="1564"/>
        <w:gridCol w:w="1550"/>
        <w:gridCol w:w="1564"/>
        <w:gridCol w:w="153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w:t>
            </w:r>
            <w:r>
              <w:rPr>
                <w:rFonts w:cs="Times New Roman"/>
              </w:rPr>
              <w: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K628094</w:t>
            </w:r>
          </w:p>
        </w:tc>
        <w:tc>
          <w:tcPr>
            <w:tcW w:w="1632" w:type="dxa"/>
            <w:vAlign w:val="top"/>
          </w:tcPr>
          <w:p w:rsidR="009520A9" w:rsidRDefault="00770482">
            <w:pPr>
              <w:jc w:val="right"/>
            </w:pPr>
            <w:r>
              <w:t>35.213</w:t>
            </w:r>
          </w:p>
        </w:tc>
        <w:tc>
          <w:tcPr>
            <w:tcW w:w="1632" w:type="dxa"/>
            <w:vAlign w:val="top"/>
          </w:tcPr>
          <w:p w:rsidR="009520A9" w:rsidRDefault="00770482">
            <w:pPr>
              <w:jc w:val="right"/>
            </w:pPr>
            <w:r>
              <w:t>1.054.592</w:t>
            </w:r>
          </w:p>
        </w:tc>
        <w:tc>
          <w:tcPr>
            <w:tcW w:w="1632" w:type="dxa"/>
            <w:vAlign w:val="top"/>
          </w:tcPr>
          <w:p w:rsidR="009520A9" w:rsidRDefault="00770482">
            <w:pPr>
              <w:jc w:val="right"/>
            </w:pPr>
            <w:r>
              <w:t>994.750</w:t>
            </w:r>
          </w:p>
        </w:tc>
        <w:tc>
          <w:tcPr>
            <w:tcW w:w="1632" w:type="dxa"/>
            <w:vAlign w:val="top"/>
          </w:tcPr>
          <w:p w:rsidR="009520A9" w:rsidRDefault="00770482">
            <w:pPr>
              <w:jc w:val="right"/>
            </w:pPr>
            <w:r>
              <w:t>1.226.900</w:t>
            </w:r>
          </w:p>
        </w:tc>
        <w:tc>
          <w:tcPr>
            <w:tcW w:w="1632" w:type="dxa"/>
            <w:vAlign w:val="top"/>
          </w:tcPr>
          <w:p w:rsidR="009520A9" w:rsidRDefault="00770482">
            <w:pPr>
              <w:jc w:val="right"/>
            </w:pPr>
            <w:r>
              <w:t>00</w:t>
            </w:r>
          </w:p>
        </w:tc>
        <w:tc>
          <w:tcPr>
            <w:tcW w:w="510" w:type="dxa"/>
            <w:vAlign w:val="top"/>
          </w:tcPr>
          <w:p w:rsidR="009520A9" w:rsidRDefault="00770482">
            <w:pPr>
              <w:jc w:val="right"/>
            </w:pPr>
            <w:r>
              <w:t>94,3</w:t>
            </w:r>
          </w:p>
        </w:tc>
      </w:tr>
    </w:tbl>
    <w:p w:rsidR="009520A9" w:rsidRDefault="009520A9">
      <w:pPr>
        <w:jc w:val="left"/>
      </w:pPr>
    </w:p>
    <w:p w:rsidR="009520A9" w:rsidRDefault="00770482">
      <w:r>
        <w:t>Provedba projektnih aktivnosti „Informacijski sustavi evidencija u visokom obrazovanju (ISeVO)“ i „Izrada kurikuluma modularnog programa za razvoj digitalnih kompetencija korisnika u visokom obrazovanju, izrada metodologije i evaluacija izrađenih obrazovni</w:t>
      </w:r>
      <w:r>
        <w:t xml:space="preserve">h sadržaja modula te aktivnosti istraživanja“. </w:t>
      </w:r>
    </w:p>
    <w:p w:rsidR="009520A9" w:rsidRDefault="00770482">
      <w:r>
        <w:t>U 2024. godini nastavit će se razvoj i uspostava središnjeg informacijskog sustava evidencija u visokom obrazovanju. Radit će se na implementaciji Digitalnog registra diploma (Evidencija svjedodžbi, diploma i</w:t>
      </w:r>
      <w:r>
        <w:t xml:space="preserve"> dopunskih isprava o studiju ) te razvoju sustava i implementaciji dviju novih evidencija: Evidencije studenata i Evidencije osoba prijavljenih za upisni postupak s rezultatima postupka.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89"/>
        <w:gridCol w:w="2288"/>
        <w:gridCol w:w="935"/>
        <w:gridCol w:w="935"/>
        <w:gridCol w:w="954"/>
        <w:gridCol w:w="935"/>
        <w:gridCol w:w="935"/>
        <w:gridCol w:w="935"/>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w:t>
            </w:r>
            <w:r>
              <w:rPr>
                <w:rFonts w:cs="Times New Roman"/>
              </w:rPr>
              <w:t>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izrađenih programskih modula sustava ISeVO</w:t>
            </w:r>
          </w:p>
        </w:tc>
        <w:tc>
          <w:tcPr>
            <w:tcW w:w="2245" w:type="dxa"/>
            <w:vAlign w:val="top"/>
          </w:tcPr>
          <w:p w:rsidR="009520A9" w:rsidRDefault="00770482">
            <w:pPr>
              <w:pStyle w:val="CellColumn"/>
              <w:jc w:val="left"/>
            </w:pPr>
            <w:r>
              <w:rPr>
                <w:rFonts w:cs="Times New Roman"/>
              </w:rPr>
              <w:t>Programski moduli sustava ISeVO opisani u Izvedbenom rješenju projekta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evidencija projekta</w:t>
            </w:r>
          </w:p>
        </w:tc>
        <w:tc>
          <w:tcPr>
            <w:tcW w:w="918" w:type="dxa"/>
          </w:tcPr>
          <w:p w:rsidR="009520A9" w:rsidRDefault="00770482">
            <w:pPr>
              <w:jc w:val="center"/>
            </w:pPr>
            <w:r>
              <w:t>5</w:t>
            </w:r>
          </w:p>
        </w:tc>
        <w:tc>
          <w:tcPr>
            <w:tcW w:w="918" w:type="dxa"/>
          </w:tcPr>
          <w:p w:rsidR="009520A9" w:rsidRDefault="00770482">
            <w:pPr>
              <w:jc w:val="center"/>
            </w:pPr>
            <w:r>
              <w:t>12</w:t>
            </w:r>
          </w:p>
        </w:tc>
        <w:tc>
          <w:tcPr>
            <w:tcW w:w="918" w:type="dxa"/>
          </w:tcPr>
          <w:p w:rsidR="009520A9" w:rsidRDefault="00770482">
            <w:pPr>
              <w:jc w:val="center"/>
            </w:pPr>
            <w:r>
              <w:t>15</w:t>
            </w:r>
          </w:p>
        </w:tc>
      </w:tr>
    </w:tbl>
    <w:p w:rsidR="009520A9" w:rsidRDefault="009520A9">
      <w:pPr>
        <w:jc w:val="left"/>
      </w:pPr>
    </w:p>
    <w:p w:rsidR="009520A9" w:rsidRDefault="00770482">
      <w:pPr>
        <w:pStyle w:val="Heading4"/>
      </w:pPr>
      <w:r>
        <w:t>K628097 HRVATSKA KVANTNA KOMUNIKACIJSKA INFRASTRUKTURA - CRO QCI - NPOO (C3.2.R2-I2)</w:t>
      </w:r>
    </w:p>
    <w:p w:rsidR="009520A9" w:rsidRDefault="00770482">
      <w:pPr>
        <w:pStyle w:val="Heading8"/>
        <w:jc w:val="left"/>
      </w:pPr>
      <w:r>
        <w:t>Zakonske i druge pravne osnove</w:t>
      </w:r>
    </w:p>
    <w:p w:rsidR="009520A9" w:rsidRDefault="00770482">
      <w:r>
        <w:t>Ugovor o dodjeli bespovratnih sredstava (Grant Agreement – GA) za projekt CroQCI – 101091513 kojim Europska komisija sufinancira provedbu projekta u visini 50 % njegove vrijednosti iz programa Digitalna Europa. Ugovor o dodjeli bespovratnih sredstava u vis</w:t>
      </w:r>
      <w:r>
        <w:t>ini 50 % vrijednosti projekta, osiguranih u sklopu Nacionalnog programa oporavka i otpornosti, investicija C3.2.R2-I2.  Konzorcijski sporazum o sudjelovanju na pripremi i provedbi projekta CroQCI kojim se uređuju odnosi hrvatskih ustanova, partnera na proj</w:t>
      </w:r>
      <w:r>
        <w:t>ektu.</w:t>
      </w:r>
    </w:p>
    <w:tbl>
      <w:tblPr>
        <w:tblStyle w:val="StilTablice"/>
        <w:tblW w:w="10206" w:type="dxa"/>
        <w:jc w:val="center"/>
        <w:tblLook w:val="04A0" w:firstRow="1" w:lastRow="0" w:firstColumn="1" w:lastColumn="0" w:noHBand="0" w:noVBand="1"/>
      </w:tblPr>
      <w:tblGrid>
        <w:gridCol w:w="1478"/>
        <w:gridCol w:w="1566"/>
        <w:gridCol w:w="1550"/>
        <w:gridCol w:w="1550"/>
        <w:gridCol w:w="1550"/>
        <w:gridCol w:w="1542"/>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K628097</w:t>
            </w:r>
          </w:p>
        </w:tc>
        <w:tc>
          <w:tcPr>
            <w:tcW w:w="1632" w:type="dxa"/>
            <w:vAlign w:val="top"/>
          </w:tcPr>
          <w:p w:rsidR="009520A9" w:rsidRDefault="00770482">
            <w:pPr>
              <w:jc w:val="right"/>
            </w:pPr>
            <w:r>
              <w:t>00</w:t>
            </w:r>
          </w:p>
        </w:tc>
        <w:tc>
          <w:tcPr>
            <w:tcW w:w="1632" w:type="dxa"/>
            <w:vAlign w:val="top"/>
          </w:tcPr>
          <w:p w:rsidR="009520A9" w:rsidRDefault="00770482">
            <w:pPr>
              <w:jc w:val="right"/>
            </w:pPr>
            <w:r>
              <w:t>90.400</w:t>
            </w:r>
          </w:p>
        </w:tc>
        <w:tc>
          <w:tcPr>
            <w:tcW w:w="1632" w:type="dxa"/>
            <w:vAlign w:val="top"/>
          </w:tcPr>
          <w:p w:rsidR="009520A9" w:rsidRDefault="00770482">
            <w:pPr>
              <w:jc w:val="right"/>
            </w:pPr>
            <w:r>
              <w:t>33.200</w:t>
            </w:r>
          </w:p>
        </w:tc>
        <w:tc>
          <w:tcPr>
            <w:tcW w:w="1632" w:type="dxa"/>
            <w:vAlign w:val="top"/>
          </w:tcPr>
          <w:p w:rsidR="009520A9" w:rsidRDefault="00770482">
            <w:pPr>
              <w:jc w:val="right"/>
            </w:pPr>
            <w:r>
              <w:t>33.200</w:t>
            </w:r>
          </w:p>
        </w:tc>
        <w:tc>
          <w:tcPr>
            <w:tcW w:w="1632" w:type="dxa"/>
            <w:vAlign w:val="top"/>
          </w:tcPr>
          <w:p w:rsidR="009520A9" w:rsidRDefault="00770482">
            <w:pPr>
              <w:jc w:val="right"/>
            </w:pPr>
            <w:r>
              <w:t>00</w:t>
            </w:r>
          </w:p>
        </w:tc>
        <w:tc>
          <w:tcPr>
            <w:tcW w:w="510" w:type="dxa"/>
            <w:vAlign w:val="top"/>
          </w:tcPr>
          <w:p w:rsidR="009520A9" w:rsidRDefault="00770482">
            <w:pPr>
              <w:jc w:val="right"/>
            </w:pPr>
            <w:r>
              <w:t>36,7</w:t>
            </w:r>
          </w:p>
        </w:tc>
      </w:tr>
    </w:tbl>
    <w:p w:rsidR="009520A9" w:rsidRDefault="009520A9">
      <w:pPr>
        <w:jc w:val="left"/>
      </w:pPr>
    </w:p>
    <w:p w:rsidR="009520A9" w:rsidRDefault="00770482">
      <w:r>
        <w:t>U okviru projekta CroQCI Srcu je povjerena provedba radnog paketa u kojem će se nizom edukacija i treninga poticati optimalno korištenje znanja i vještina povezanih s kibernetičkom sigurnošću u primjeni kvantne tehnologije, kao i podizanje svijesti o potre</w:t>
      </w:r>
      <w:r>
        <w:t xml:space="preserve">bi za bolje zaštićenom komunikacijom i kibernetičkoj sigurnosti u nadolazećoj kvantnoj eri. </w:t>
      </w:r>
    </w:p>
    <w:p w:rsidR="009520A9" w:rsidRDefault="00770482">
      <w:r>
        <w:t xml:space="preserve">Srce će u sklopu projekta također provesti praktični primjer primjene sustava za upravljanje ključevima (Key Management System – KMS). Poboljšanje sigurnosti raspodijeljene pohrane korisnički je slučaj za čiju će provedbu Srce biti zaduženo. </w:t>
      </w:r>
    </w:p>
    <w:p w:rsidR="009520A9" w:rsidRDefault="00770482">
      <w:r>
        <w:t>Sukladno CroQ</w:t>
      </w:r>
      <w:r>
        <w:t>CI Planu obrazovanja i osposobljavanja, Srce će tijekom 2024. godine izraditi specijaliziranu radionicu kojom će pružati podršku u izradi i provedbi šest predavanja, četiri webinara te MOOC-a (Massive Open Online Course).  Također, nastavit će rad na koris</w:t>
      </w:r>
      <w:r>
        <w:t>ničkom slučaju primjene KMS-a i poboljšanja sigurnosti raspodijeljene pohrane.</w:t>
      </w:r>
    </w:p>
    <w:p w:rsidR="009520A9" w:rsidRDefault="00770482">
      <w:pPr>
        <w:pStyle w:val="Heading2"/>
      </w:pPr>
      <w:r>
        <w:t>23962 Agencija za odgoj i obrazovanje</w:t>
      </w:r>
    </w:p>
    <w:p w:rsidR="009520A9" w:rsidRDefault="00770482">
      <w:r>
        <w:t>Zakonom o Agenciji za odgoj i obrazovanje (Narodne novine, 85/06), koji je stupio na snagu 4. kolovoza 2006. godine, osnovana je Agencija z</w:t>
      </w:r>
      <w:r>
        <w:t xml:space="preserve">a odgoj i obrazovanje kao neprofitna javna ustanova s temeljnom zadaćom obavljanja stručnih i savjetodavnih poslova u odgoju i obrazovanju.  </w:t>
      </w:r>
    </w:p>
    <w:p w:rsidR="009520A9" w:rsidRDefault="00770482">
      <w:r>
        <w:t xml:space="preserve">  </w:t>
      </w:r>
    </w:p>
    <w:p w:rsidR="009520A9" w:rsidRDefault="00770482">
      <w:r>
        <w:t xml:space="preserve">Agencija obavlja slijedeće djelatnosti:  sudjeluje u izradi, razvoju i implementaciji nacionalnog kurikuluma;  </w:t>
      </w:r>
      <w:r>
        <w:t>pruža stručnu pomoć i daje upute ustanovama, njihovim ravnateljima te odgojiteljima, učiteljima, nastavnicima stručnim suradnicima (u daljnjem tekstu: odgojno-obrazovni radnici) u provedbi djelatnosti odgoja i obrazovanja;  organizira i provodi stručno usa</w:t>
      </w:r>
      <w:r>
        <w:t>vršavanje odgojno-obrazovnih radnika i ravnatelja, ako posebnim propisima nije drukčije određeno;  provodi stručne ispite za odgojno-obrazovne radnike, prema posebnim propisima; provodi postupak stručnog napredovanja za odgojno-obrazovne radnike i ravnatel</w:t>
      </w:r>
      <w:r>
        <w:t>je, prema posebnim propisima;  daje mišljenja o programima u predškolskom odgoju, nastavnim programima u osnovnom školstvu i gimnazijama, opće-obrazovnim programima srednjeg strukovnog školstva te u programima u obrazovanju odraslih, osim ako posebnim prop</w:t>
      </w:r>
      <w:r>
        <w:t>isima nije drukčije određeno;  daje mišljenja o nastavnim programima općeobrazovnih predmeta u postupku verifikacije odgojno-obrazovnih ustanova; prati izradu i provedbu Hrvatskoga nacionalnoga obrazovnog standarda kao dijela nacionalnoga kurikuluma;  prat</w:t>
      </w:r>
      <w:r>
        <w:t>i provedbu implementacije predmetnih kurikuluma i kurikuluma međupredmetnih tema, obavlja stručno-pedagoški nadzor; sudjeluje u organizaciji i provođenju učeničkih smotri i natjecanja;  sudjeluje u izradi i praćenju nacionalnih programa;  obavlja informaci</w:t>
      </w:r>
      <w:r>
        <w:t>jsko-dokumentacijsku i nakladničku djelatnost.</w:t>
      </w:r>
    </w:p>
    <w:tbl>
      <w:tblPr>
        <w:tblStyle w:val="StilTablice"/>
        <w:tblW w:w="10206" w:type="dxa"/>
        <w:jc w:val="center"/>
        <w:tblLook w:val="04A0" w:firstRow="1" w:lastRow="0" w:firstColumn="1" w:lastColumn="0" w:noHBand="0" w:noVBand="1"/>
      </w:tblPr>
      <w:tblGrid>
        <w:gridCol w:w="1432"/>
        <w:gridCol w:w="1555"/>
        <w:gridCol w:w="1554"/>
        <w:gridCol w:w="1565"/>
        <w:gridCol w:w="1565"/>
        <w:gridCol w:w="1565"/>
        <w:gridCol w:w="970"/>
      </w:tblGrid>
      <w:tr w:rsidR="009520A9">
        <w:trPr>
          <w:jc w:val="center"/>
        </w:trPr>
        <w:tc>
          <w:tcPr>
            <w:tcW w:w="1530" w:type="dxa"/>
            <w:shd w:val="clear" w:color="auto" w:fill="B5C0D8"/>
          </w:tcPr>
          <w:p w:rsidR="009520A9" w:rsidRDefault="009520A9">
            <w:pPr>
              <w:pStyle w:val="CellHeader"/>
              <w:jc w:val="center"/>
            </w:pP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tcPr>
          <w:p w:rsidR="009520A9" w:rsidRDefault="00770482">
            <w:pPr>
              <w:pStyle w:val="CellColumn"/>
              <w:jc w:val="left"/>
            </w:pPr>
            <w:r>
              <w:rPr>
                <w:rFonts w:cs="Times New Roman"/>
              </w:rPr>
              <w:t>23962</w:t>
            </w:r>
          </w:p>
        </w:tc>
        <w:tc>
          <w:tcPr>
            <w:tcW w:w="1632" w:type="dxa"/>
          </w:tcPr>
          <w:p w:rsidR="009520A9" w:rsidRDefault="00770482">
            <w:pPr>
              <w:jc w:val="right"/>
            </w:pPr>
            <w:r>
              <w:t>4.911.080</w:t>
            </w:r>
          </w:p>
        </w:tc>
        <w:tc>
          <w:tcPr>
            <w:tcW w:w="1632" w:type="dxa"/>
          </w:tcPr>
          <w:p w:rsidR="009520A9" w:rsidRDefault="00770482">
            <w:pPr>
              <w:jc w:val="right"/>
            </w:pPr>
            <w:r>
              <w:t>5.898.811</w:t>
            </w:r>
          </w:p>
        </w:tc>
        <w:tc>
          <w:tcPr>
            <w:tcW w:w="1632" w:type="dxa"/>
          </w:tcPr>
          <w:p w:rsidR="009520A9" w:rsidRDefault="00770482">
            <w:pPr>
              <w:jc w:val="right"/>
            </w:pPr>
            <w:r>
              <w:t>14.165.839</w:t>
            </w:r>
          </w:p>
        </w:tc>
        <w:tc>
          <w:tcPr>
            <w:tcW w:w="1632" w:type="dxa"/>
          </w:tcPr>
          <w:p w:rsidR="009520A9" w:rsidRDefault="00770482">
            <w:pPr>
              <w:jc w:val="right"/>
            </w:pPr>
            <w:r>
              <w:t>14.565.338</w:t>
            </w:r>
          </w:p>
        </w:tc>
        <w:tc>
          <w:tcPr>
            <w:tcW w:w="1632" w:type="dxa"/>
          </w:tcPr>
          <w:p w:rsidR="009520A9" w:rsidRDefault="00770482">
            <w:pPr>
              <w:jc w:val="right"/>
            </w:pPr>
            <w:r>
              <w:t>14.565.338</w:t>
            </w:r>
          </w:p>
        </w:tc>
        <w:tc>
          <w:tcPr>
            <w:tcW w:w="510" w:type="dxa"/>
          </w:tcPr>
          <w:p w:rsidR="009520A9" w:rsidRDefault="00770482">
            <w:pPr>
              <w:jc w:val="right"/>
            </w:pPr>
            <w:r>
              <w:t>240,1</w:t>
            </w:r>
          </w:p>
        </w:tc>
      </w:tr>
    </w:tbl>
    <w:p w:rsidR="009520A9" w:rsidRDefault="009520A9">
      <w:pPr>
        <w:jc w:val="left"/>
      </w:pPr>
    </w:p>
    <w:p w:rsidR="009520A9" w:rsidRDefault="00770482">
      <w:pPr>
        <w:pStyle w:val="Heading3"/>
      </w:pPr>
      <w:r>
        <w:rPr>
          <w:rFonts w:cs="Times New Roman"/>
        </w:rPr>
        <w:t>3701 RAZVOJ ODGOJNO OBRAZOVNOG SUSTAVA</w:t>
      </w:r>
    </w:p>
    <w:tbl>
      <w:tblPr>
        <w:tblStyle w:val="StilTablice"/>
        <w:tblW w:w="10206" w:type="dxa"/>
        <w:jc w:val="center"/>
        <w:tblLook w:val="04A0" w:firstRow="1" w:lastRow="0" w:firstColumn="1" w:lastColumn="0" w:noHBand="0" w:noVBand="1"/>
      </w:tblPr>
      <w:tblGrid>
        <w:gridCol w:w="1423"/>
        <w:gridCol w:w="1556"/>
        <w:gridCol w:w="1556"/>
        <w:gridCol w:w="1567"/>
        <w:gridCol w:w="1567"/>
        <w:gridCol w:w="1567"/>
        <w:gridCol w:w="970"/>
      </w:tblGrid>
      <w:tr w:rsidR="009520A9">
        <w:trPr>
          <w:jc w:val="center"/>
        </w:trPr>
        <w:tc>
          <w:tcPr>
            <w:tcW w:w="1530" w:type="dxa"/>
            <w:shd w:val="clear" w:color="auto" w:fill="B5C0D8"/>
          </w:tcPr>
          <w:p w:rsidR="009520A9" w:rsidRDefault="009520A9">
            <w:pPr>
              <w:pStyle w:val="CellHeader"/>
            </w:pPr>
          </w:p>
        </w:tc>
        <w:tc>
          <w:tcPr>
            <w:tcW w:w="1632" w:type="dxa"/>
            <w:shd w:val="clear" w:color="auto" w:fill="B5C0D8"/>
          </w:tcPr>
          <w:p w:rsidR="009520A9" w:rsidRDefault="00770482">
            <w:pPr>
              <w:pStyle w:val="CellHeader"/>
            </w:pPr>
            <w:r>
              <w:rPr>
                <w:rFonts w:cs="Times New Roman"/>
              </w:rPr>
              <w:t>Izvršenje 2022.</w:t>
            </w:r>
          </w:p>
        </w:tc>
        <w:tc>
          <w:tcPr>
            <w:tcW w:w="1632" w:type="dxa"/>
            <w:shd w:val="clear" w:color="auto" w:fill="B5C0D8"/>
          </w:tcPr>
          <w:p w:rsidR="009520A9" w:rsidRDefault="00770482">
            <w:pPr>
              <w:pStyle w:val="CellHeader"/>
            </w:pPr>
            <w:r>
              <w:rPr>
                <w:rFonts w:cs="Times New Roman"/>
              </w:rPr>
              <w:t>Plan 2023.</w:t>
            </w:r>
          </w:p>
        </w:tc>
        <w:tc>
          <w:tcPr>
            <w:tcW w:w="1632" w:type="dxa"/>
            <w:shd w:val="clear" w:color="auto" w:fill="B5C0D8"/>
          </w:tcPr>
          <w:p w:rsidR="009520A9" w:rsidRDefault="00770482">
            <w:pPr>
              <w:pStyle w:val="CellHeader"/>
            </w:pPr>
            <w:r>
              <w:rPr>
                <w:rFonts w:cs="Times New Roman"/>
              </w:rPr>
              <w:t>Plan 2024.</w:t>
            </w:r>
          </w:p>
        </w:tc>
        <w:tc>
          <w:tcPr>
            <w:tcW w:w="1632" w:type="dxa"/>
            <w:shd w:val="clear" w:color="auto" w:fill="B5C0D8"/>
          </w:tcPr>
          <w:p w:rsidR="009520A9" w:rsidRDefault="00770482">
            <w:pPr>
              <w:pStyle w:val="CellHeader"/>
            </w:pPr>
            <w:r>
              <w:rPr>
                <w:rFonts w:cs="Times New Roman"/>
              </w:rPr>
              <w:t>Plan 2025.</w:t>
            </w:r>
          </w:p>
        </w:tc>
        <w:tc>
          <w:tcPr>
            <w:tcW w:w="1632" w:type="dxa"/>
            <w:shd w:val="clear" w:color="auto" w:fill="B5C0D8"/>
          </w:tcPr>
          <w:p w:rsidR="009520A9" w:rsidRDefault="00770482">
            <w:pPr>
              <w:pStyle w:val="CellHead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3701</w:t>
            </w:r>
          </w:p>
        </w:tc>
        <w:tc>
          <w:tcPr>
            <w:tcW w:w="1632" w:type="dxa"/>
            <w:vAlign w:val="top"/>
          </w:tcPr>
          <w:p w:rsidR="009520A9" w:rsidRDefault="00770482">
            <w:pPr>
              <w:jc w:val="right"/>
            </w:pPr>
            <w:r>
              <w:t>4.911.080</w:t>
            </w:r>
          </w:p>
        </w:tc>
        <w:tc>
          <w:tcPr>
            <w:tcW w:w="1632" w:type="dxa"/>
            <w:vAlign w:val="top"/>
          </w:tcPr>
          <w:p w:rsidR="009520A9" w:rsidRDefault="00770482">
            <w:pPr>
              <w:jc w:val="right"/>
            </w:pPr>
            <w:r>
              <w:t>5.898.811</w:t>
            </w:r>
          </w:p>
        </w:tc>
        <w:tc>
          <w:tcPr>
            <w:tcW w:w="1632" w:type="dxa"/>
            <w:vAlign w:val="top"/>
          </w:tcPr>
          <w:p w:rsidR="009520A9" w:rsidRDefault="00770482">
            <w:pPr>
              <w:jc w:val="right"/>
            </w:pPr>
            <w:r>
              <w:t>14.165.839</w:t>
            </w:r>
          </w:p>
        </w:tc>
        <w:tc>
          <w:tcPr>
            <w:tcW w:w="1632" w:type="dxa"/>
            <w:vAlign w:val="top"/>
          </w:tcPr>
          <w:p w:rsidR="009520A9" w:rsidRDefault="00770482">
            <w:pPr>
              <w:jc w:val="right"/>
            </w:pPr>
            <w:r>
              <w:t>14.565.338</w:t>
            </w:r>
          </w:p>
        </w:tc>
        <w:tc>
          <w:tcPr>
            <w:tcW w:w="1632" w:type="dxa"/>
            <w:vAlign w:val="top"/>
          </w:tcPr>
          <w:p w:rsidR="009520A9" w:rsidRDefault="00770482">
            <w:pPr>
              <w:jc w:val="right"/>
            </w:pPr>
            <w:r>
              <w:t>14.565.338</w:t>
            </w:r>
          </w:p>
        </w:tc>
        <w:tc>
          <w:tcPr>
            <w:tcW w:w="510" w:type="dxa"/>
            <w:vAlign w:val="top"/>
          </w:tcPr>
          <w:p w:rsidR="009520A9" w:rsidRDefault="00770482">
            <w:pPr>
              <w:jc w:val="right"/>
            </w:pPr>
            <w:r>
              <w:t>240,1</w:t>
            </w:r>
          </w:p>
        </w:tc>
      </w:tr>
    </w:tbl>
    <w:p w:rsidR="009520A9" w:rsidRDefault="009520A9">
      <w:pPr>
        <w:jc w:val="left"/>
      </w:pPr>
    </w:p>
    <w:p w:rsidR="009520A9" w:rsidRDefault="00770482">
      <w:pPr>
        <w:pStyle w:val="Heading8"/>
        <w:jc w:val="left"/>
      </w:pPr>
      <w:r>
        <w:t>Cilj 1. Osiguravati i unapređivati kvalitetu stručnih usavršavanja za profesionalni razvoj odgojno-obrazovnih radnika</w:t>
      </w:r>
    </w:p>
    <w:p w:rsidR="009520A9" w:rsidRDefault="00770482">
      <w:pPr>
        <w:pStyle w:val="Heading8"/>
        <w:jc w:val="left"/>
      </w:pPr>
      <w:r>
        <w:t>Cilj 2. Stvarati sustav potpore razvoju i provedbi kurikularne reforme</w:t>
      </w:r>
    </w:p>
    <w:p w:rsidR="009520A9" w:rsidRDefault="00770482">
      <w:pPr>
        <w:pStyle w:val="Heading8"/>
        <w:jc w:val="left"/>
      </w:pPr>
      <w:r>
        <w:t>Cilj 3. Razviti potencijal učenika kroz sustav natjecanja i smotri</w:t>
      </w:r>
    </w:p>
    <w:p w:rsidR="009520A9" w:rsidRDefault="00770482">
      <w:pPr>
        <w:pStyle w:val="Heading8"/>
        <w:jc w:val="left"/>
      </w:pPr>
      <w:r>
        <w:t>Pokazatelji učinka</w:t>
      </w:r>
    </w:p>
    <w:tbl>
      <w:tblPr>
        <w:tblStyle w:val="StilTablice"/>
        <w:tblW w:w="10206" w:type="dxa"/>
        <w:jc w:val="center"/>
        <w:tblLook w:val="04A0" w:firstRow="1" w:lastRow="0" w:firstColumn="1" w:lastColumn="0" w:noHBand="0" w:noVBand="1"/>
      </w:tblPr>
      <w:tblGrid>
        <w:gridCol w:w="2266"/>
        <w:gridCol w:w="2265"/>
        <w:gridCol w:w="1045"/>
        <w:gridCol w:w="926"/>
        <w:gridCol w:w="926"/>
        <w:gridCol w:w="926"/>
        <w:gridCol w:w="926"/>
        <w:gridCol w:w="926"/>
      </w:tblGrid>
      <w:tr w:rsidR="009520A9">
        <w:trPr>
          <w:jc w:val="center"/>
        </w:trPr>
        <w:tc>
          <w:tcPr>
            <w:tcW w:w="2245" w:type="dxa"/>
            <w:shd w:val="clear" w:color="auto" w:fill="B5C0D8"/>
          </w:tcPr>
          <w:p w:rsidR="009520A9" w:rsidRDefault="00770482">
            <w:pPr>
              <w:jc w:val="center"/>
            </w:pPr>
            <w:r>
              <w:t>Pokazatelj učinka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Porast broja ponuđenih programa za kontinuirani profesionalni razvoj odgojno-obrazovnih radnika usmjerenih jačanju njihovih stručnih kompetencija</w:t>
            </w:r>
          </w:p>
        </w:tc>
        <w:tc>
          <w:tcPr>
            <w:tcW w:w="2245" w:type="dxa"/>
            <w:vAlign w:val="top"/>
          </w:tcPr>
          <w:p w:rsidR="009520A9" w:rsidRDefault="00770482">
            <w:pPr>
              <w:pStyle w:val="CellColumn"/>
              <w:jc w:val="left"/>
            </w:pPr>
            <w:r>
              <w:rPr>
                <w:rFonts w:cs="Times New Roman"/>
              </w:rPr>
              <w:t>Jačanje kompetencija odgojno-obrazovnih radnika kroz povećanje broja programa namijenjenih za profesionalni razvoj ukazuje na unaprjeđenje kvalitete stručnih usavršavanja</w:t>
            </w:r>
          </w:p>
        </w:tc>
        <w:tc>
          <w:tcPr>
            <w:tcW w:w="918" w:type="dxa"/>
          </w:tcPr>
          <w:p w:rsidR="009520A9" w:rsidRDefault="00770482">
            <w:pPr>
              <w:jc w:val="center"/>
            </w:pPr>
            <w:r>
              <w:t>broj odgojno-obrazovnih radnika</w:t>
            </w:r>
          </w:p>
        </w:tc>
        <w:tc>
          <w:tcPr>
            <w:tcW w:w="918" w:type="dxa"/>
          </w:tcPr>
          <w:p w:rsidR="009520A9" w:rsidRDefault="00770482">
            <w:pPr>
              <w:jc w:val="center"/>
            </w:pPr>
            <w:r>
              <w:t>55.550</w:t>
            </w:r>
          </w:p>
        </w:tc>
        <w:tc>
          <w:tcPr>
            <w:tcW w:w="918" w:type="dxa"/>
          </w:tcPr>
          <w:p w:rsidR="009520A9" w:rsidRDefault="00770482">
            <w:pPr>
              <w:pStyle w:val="CellColumn"/>
              <w:jc w:val="center"/>
            </w:pPr>
            <w:r>
              <w:rPr>
                <w:rFonts w:cs="Times New Roman"/>
              </w:rPr>
              <w:t>AZOO</w:t>
            </w:r>
          </w:p>
        </w:tc>
        <w:tc>
          <w:tcPr>
            <w:tcW w:w="918" w:type="dxa"/>
          </w:tcPr>
          <w:p w:rsidR="009520A9" w:rsidRDefault="00770482">
            <w:pPr>
              <w:jc w:val="center"/>
            </w:pPr>
            <w:r>
              <w:t>55.630</w:t>
            </w:r>
          </w:p>
        </w:tc>
        <w:tc>
          <w:tcPr>
            <w:tcW w:w="918" w:type="dxa"/>
          </w:tcPr>
          <w:p w:rsidR="009520A9" w:rsidRDefault="00770482">
            <w:pPr>
              <w:jc w:val="center"/>
            </w:pPr>
            <w:r>
              <w:t>55.630</w:t>
            </w:r>
          </w:p>
        </w:tc>
        <w:tc>
          <w:tcPr>
            <w:tcW w:w="918" w:type="dxa"/>
          </w:tcPr>
          <w:p w:rsidR="009520A9" w:rsidRDefault="00770482">
            <w:pPr>
              <w:jc w:val="center"/>
            </w:pPr>
            <w:r>
              <w:t>55.680</w:t>
            </w:r>
          </w:p>
        </w:tc>
      </w:tr>
      <w:tr w:rsidR="009520A9">
        <w:trPr>
          <w:jc w:val="center"/>
        </w:trPr>
        <w:tc>
          <w:tcPr>
            <w:tcW w:w="2245" w:type="dxa"/>
            <w:vAlign w:val="top"/>
          </w:tcPr>
          <w:p w:rsidR="009520A9" w:rsidRDefault="00770482">
            <w:pPr>
              <w:pStyle w:val="CellColumn"/>
              <w:jc w:val="left"/>
            </w:pPr>
            <w:r>
              <w:rPr>
                <w:rFonts w:cs="Times New Roman"/>
              </w:rPr>
              <w:t>Porast broja ponuđe</w:t>
            </w:r>
            <w:r>
              <w:rPr>
                <w:rFonts w:cs="Times New Roman"/>
              </w:rPr>
              <w:t>nih programa usmjerenih pružanju potpore i provedbi kurikularne reforme</w:t>
            </w:r>
          </w:p>
        </w:tc>
        <w:tc>
          <w:tcPr>
            <w:tcW w:w="2245" w:type="dxa"/>
            <w:vAlign w:val="top"/>
          </w:tcPr>
          <w:p w:rsidR="009520A9" w:rsidRDefault="00770482">
            <w:pPr>
              <w:pStyle w:val="CellColumn"/>
              <w:jc w:val="left"/>
            </w:pPr>
            <w:r>
              <w:rPr>
                <w:rFonts w:cs="Times New Roman"/>
              </w:rPr>
              <w:t>Jačanje kompetencija odgojno-obrazovnih radnika u razvoju i provedbi kurikularne reforme</w:t>
            </w:r>
          </w:p>
        </w:tc>
        <w:tc>
          <w:tcPr>
            <w:tcW w:w="918" w:type="dxa"/>
          </w:tcPr>
          <w:p w:rsidR="009520A9" w:rsidRDefault="00770482">
            <w:pPr>
              <w:jc w:val="center"/>
            </w:pPr>
            <w:r>
              <w:t>broj ponuđenih programa u razvoju i provedbi kurikularne reforme</w:t>
            </w:r>
          </w:p>
        </w:tc>
        <w:tc>
          <w:tcPr>
            <w:tcW w:w="918" w:type="dxa"/>
          </w:tcPr>
          <w:p w:rsidR="009520A9" w:rsidRDefault="00770482">
            <w:pPr>
              <w:jc w:val="center"/>
            </w:pPr>
            <w:r>
              <w:t>189</w:t>
            </w:r>
          </w:p>
        </w:tc>
        <w:tc>
          <w:tcPr>
            <w:tcW w:w="918" w:type="dxa"/>
          </w:tcPr>
          <w:p w:rsidR="009520A9" w:rsidRDefault="00770482">
            <w:pPr>
              <w:pStyle w:val="CellColumn"/>
              <w:jc w:val="center"/>
            </w:pPr>
            <w:r>
              <w:rPr>
                <w:rFonts w:cs="Times New Roman"/>
              </w:rPr>
              <w:t>AZOO</w:t>
            </w:r>
          </w:p>
        </w:tc>
        <w:tc>
          <w:tcPr>
            <w:tcW w:w="918" w:type="dxa"/>
          </w:tcPr>
          <w:p w:rsidR="009520A9" w:rsidRDefault="00770482">
            <w:pPr>
              <w:jc w:val="center"/>
            </w:pPr>
            <w:r>
              <w:t>200</w:t>
            </w:r>
          </w:p>
        </w:tc>
        <w:tc>
          <w:tcPr>
            <w:tcW w:w="918" w:type="dxa"/>
          </w:tcPr>
          <w:p w:rsidR="009520A9" w:rsidRDefault="00770482">
            <w:pPr>
              <w:jc w:val="center"/>
            </w:pPr>
            <w:r>
              <w:t>200</w:t>
            </w:r>
          </w:p>
        </w:tc>
        <w:tc>
          <w:tcPr>
            <w:tcW w:w="918" w:type="dxa"/>
          </w:tcPr>
          <w:p w:rsidR="009520A9" w:rsidRDefault="00770482">
            <w:pPr>
              <w:jc w:val="center"/>
            </w:pPr>
            <w:r>
              <w:t>200</w:t>
            </w:r>
          </w:p>
        </w:tc>
      </w:tr>
      <w:tr w:rsidR="009520A9">
        <w:trPr>
          <w:jc w:val="center"/>
        </w:trPr>
        <w:tc>
          <w:tcPr>
            <w:tcW w:w="2245" w:type="dxa"/>
            <w:vAlign w:val="top"/>
          </w:tcPr>
          <w:p w:rsidR="009520A9" w:rsidRDefault="00770482">
            <w:pPr>
              <w:pStyle w:val="CellColumn"/>
              <w:jc w:val="left"/>
            </w:pPr>
            <w:r>
              <w:rPr>
                <w:rFonts w:cs="Times New Roman"/>
              </w:rPr>
              <w:t xml:space="preserve">Povećan </w:t>
            </w:r>
            <w:r>
              <w:rPr>
                <w:rFonts w:cs="Times New Roman"/>
              </w:rPr>
              <w:t>broj učenika uključenih u sustav natjecanja i smotri na svim razinama (školska, županijska, državna)</w:t>
            </w:r>
          </w:p>
        </w:tc>
        <w:tc>
          <w:tcPr>
            <w:tcW w:w="2245" w:type="dxa"/>
            <w:vAlign w:val="top"/>
          </w:tcPr>
          <w:p w:rsidR="009520A9" w:rsidRDefault="00770482">
            <w:pPr>
              <w:pStyle w:val="CellColumn"/>
              <w:jc w:val="left"/>
            </w:pPr>
            <w:r>
              <w:rPr>
                <w:rFonts w:cs="Times New Roman"/>
              </w:rPr>
              <w:t>Razvijanje potencijala učenika kroz sustav natjecanja i smotri</w:t>
            </w:r>
          </w:p>
        </w:tc>
        <w:tc>
          <w:tcPr>
            <w:tcW w:w="918" w:type="dxa"/>
          </w:tcPr>
          <w:p w:rsidR="009520A9" w:rsidRDefault="00770482">
            <w:pPr>
              <w:jc w:val="center"/>
            </w:pPr>
            <w:r>
              <w:t>broj učenika uključen u sustav natjecanja i smotri</w:t>
            </w:r>
          </w:p>
        </w:tc>
        <w:tc>
          <w:tcPr>
            <w:tcW w:w="918" w:type="dxa"/>
          </w:tcPr>
          <w:p w:rsidR="009520A9" w:rsidRDefault="00770482">
            <w:pPr>
              <w:jc w:val="center"/>
            </w:pPr>
            <w:r>
              <w:t>149.190</w:t>
            </w:r>
          </w:p>
        </w:tc>
        <w:tc>
          <w:tcPr>
            <w:tcW w:w="918" w:type="dxa"/>
          </w:tcPr>
          <w:p w:rsidR="009520A9" w:rsidRDefault="00770482">
            <w:pPr>
              <w:pStyle w:val="CellColumn"/>
              <w:jc w:val="center"/>
            </w:pPr>
            <w:r>
              <w:rPr>
                <w:rFonts w:cs="Times New Roman"/>
              </w:rPr>
              <w:t>AZOO</w:t>
            </w:r>
          </w:p>
        </w:tc>
        <w:tc>
          <w:tcPr>
            <w:tcW w:w="918" w:type="dxa"/>
          </w:tcPr>
          <w:p w:rsidR="009520A9" w:rsidRDefault="00770482">
            <w:pPr>
              <w:jc w:val="center"/>
            </w:pPr>
            <w:r>
              <w:t>155.000</w:t>
            </w:r>
          </w:p>
        </w:tc>
        <w:tc>
          <w:tcPr>
            <w:tcW w:w="918" w:type="dxa"/>
          </w:tcPr>
          <w:p w:rsidR="009520A9" w:rsidRDefault="00770482">
            <w:pPr>
              <w:jc w:val="center"/>
            </w:pPr>
            <w:r>
              <w:t>155.000</w:t>
            </w:r>
          </w:p>
        </w:tc>
        <w:tc>
          <w:tcPr>
            <w:tcW w:w="918" w:type="dxa"/>
          </w:tcPr>
          <w:p w:rsidR="009520A9" w:rsidRDefault="00770482">
            <w:pPr>
              <w:jc w:val="center"/>
            </w:pPr>
            <w:r>
              <w:t>155.000</w:t>
            </w:r>
          </w:p>
        </w:tc>
      </w:tr>
    </w:tbl>
    <w:p w:rsidR="009520A9" w:rsidRDefault="009520A9">
      <w:pPr>
        <w:jc w:val="left"/>
      </w:pPr>
    </w:p>
    <w:p w:rsidR="009520A9" w:rsidRDefault="00770482">
      <w:pPr>
        <w:pStyle w:val="Heading4"/>
      </w:pPr>
      <w:r>
        <w:t>A579073 UČIMO PODUZETNIŠTVO 5.0</w:t>
      </w:r>
    </w:p>
    <w:p w:rsidR="009520A9" w:rsidRDefault="00770482">
      <w:pPr>
        <w:pStyle w:val="Heading8"/>
        <w:jc w:val="left"/>
      </w:pPr>
      <w:r>
        <w:t>Zakonske i druge pravne osnove</w:t>
      </w:r>
    </w:p>
    <w:p w:rsidR="009520A9" w:rsidRDefault="00770482">
      <w:r>
        <w:t>Odluka o financiranju MRRFEU</w:t>
      </w:r>
    </w:p>
    <w:tbl>
      <w:tblPr>
        <w:tblStyle w:val="StilTablice"/>
        <w:tblW w:w="10206" w:type="dxa"/>
        <w:jc w:val="center"/>
        <w:tblLook w:val="04A0" w:firstRow="1" w:lastRow="0" w:firstColumn="1" w:lastColumn="0" w:noHBand="0" w:noVBand="1"/>
      </w:tblPr>
      <w:tblGrid>
        <w:gridCol w:w="1477"/>
        <w:gridCol w:w="1566"/>
        <w:gridCol w:w="1559"/>
        <w:gridCol w:w="1550"/>
        <w:gridCol w:w="1542"/>
        <w:gridCol w:w="1542"/>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A579073</w:t>
            </w:r>
          </w:p>
        </w:tc>
        <w:tc>
          <w:tcPr>
            <w:tcW w:w="1632" w:type="dxa"/>
            <w:vAlign w:val="top"/>
          </w:tcPr>
          <w:p w:rsidR="009520A9" w:rsidRDefault="00770482">
            <w:pPr>
              <w:jc w:val="right"/>
            </w:pPr>
            <w:r>
              <w:t>20.817</w:t>
            </w:r>
          </w:p>
        </w:tc>
        <w:tc>
          <w:tcPr>
            <w:tcW w:w="1632" w:type="dxa"/>
            <w:vAlign w:val="top"/>
          </w:tcPr>
          <w:p w:rsidR="009520A9" w:rsidRDefault="00770482">
            <w:pPr>
              <w:jc w:val="right"/>
            </w:pPr>
            <w:r>
              <w:t>117.717</w:t>
            </w:r>
          </w:p>
        </w:tc>
        <w:tc>
          <w:tcPr>
            <w:tcW w:w="1632" w:type="dxa"/>
            <w:vAlign w:val="top"/>
          </w:tcPr>
          <w:p w:rsidR="009520A9" w:rsidRDefault="00770482">
            <w:pPr>
              <w:jc w:val="right"/>
            </w:pPr>
            <w:r>
              <w:t>17.782</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510" w:type="dxa"/>
            <w:vAlign w:val="top"/>
          </w:tcPr>
          <w:p w:rsidR="009520A9" w:rsidRDefault="00770482">
            <w:pPr>
              <w:jc w:val="right"/>
            </w:pPr>
            <w:r>
              <w:t>15,1</w:t>
            </w:r>
          </w:p>
        </w:tc>
      </w:tr>
    </w:tbl>
    <w:p w:rsidR="009520A9" w:rsidRDefault="009520A9">
      <w:pPr>
        <w:jc w:val="left"/>
      </w:pPr>
    </w:p>
    <w:p w:rsidR="009520A9" w:rsidRDefault="00770482">
      <w:r>
        <w:t>Kroz ovu aktivnost osiguravaju se sredstva za unapređenje vještina i kompetencija učitelja i drugih odgojno-obrazovnih radnika.</w:t>
      </w:r>
    </w:p>
    <w:p w:rsidR="009520A9" w:rsidRDefault="00770482">
      <w:pPr>
        <w:pStyle w:val="Heading4"/>
      </w:pPr>
      <w:r>
        <w:t>A580006 STRUČNO USAVRŠAVANJE U OKVIRU ŽUPANIJSKIH STRUČNIH VIJEĆA SREDNJE ŠKOLE</w:t>
      </w:r>
    </w:p>
    <w:p w:rsidR="009520A9" w:rsidRDefault="00770482">
      <w:pPr>
        <w:pStyle w:val="Heading8"/>
        <w:jc w:val="left"/>
      </w:pPr>
      <w:r>
        <w:t>Zakonske i druge pravne osnove</w:t>
      </w:r>
    </w:p>
    <w:p w:rsidR="009520A9" w:rsidRDefault="00770482">
      <w:r>
        <w:t>Zakon o srednjem školstvu, Strategija obrazovanja, znanosti i tehnologije, Nacionalni okvirni kurikulum za predškolski odgoj te opće obvezno i srednjoškolsko obrazovanje, Zakon o odgoju i obrazovanju u osnovnoj i srednjoj školi, Zakon o Agenciji za odgoj i</w:t>
      </w:r>
      <w:r>
        <w:t xml:space="preserve"> obrazovanje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A580006</w:t>
            </w:r>
          </w:p>
        </w:tc>
        <w:tc>
          <w:tcPr>
            <w:tcW w:w="1632" w:type="dxa"/>
            <w:vAlign w:val="top"/>
          </w:tcPr>
          <w:p w:rsidR="009520A9" w:rsidRDefault="00770482">
            <w:pPr>
              <w:jc w:val="right"/>
            </w:pPr>
            <w:r>
              <w:t>103.524</w:t>
            </w:r>
          </w:p>
        </w:tc>
        <w:tc>
          <w:tcPr>
            <w:tcW w:w="1632" w:type="dxa"/>
            <w:vAlign w:val="top"/>
          </w:tcPr>
          <w:p w:rsidR="009520A9" w:rsidRDefault="00770482">
            <w:pPr>
              <w:jc w:val="right"/>
            </w:pPr>
            <w:r>
              <w:t>103.524</w:t>
            </w:r>
          </w:p>
        </w:tc>
        <w:tc>
          <w:tcPr>
            <w:tcW w:w="1632" w:type="dxa"/>
            <w:vAlign w:val="top"/>
          </w:tcPr>
          <w:p w:rsidR="009520A9" w:rsidRDefault="00770482">
            <w:pPr>
              <w:jc w:val="right"/>
            </w:pPr>
            <w:r>
              <w:t>103.500</w:t>
            </w:r>
          </w:p>
        </w:tc>
        <w:tc>
          <w:tcPr>
            <w:tcW w:w="1632" w:type="dxa"/>
            <w:vAlign w:val="top"/>
          </w:tcPr>
          <w:p w:rsidR="009520A9" w:rsidRDefault="00770482">
            <w:pPr>
              <w:jc w:val="right"/>
            </w:pPr>
            <w:r>
              <w:t>103.500</w:t>
            </w:r>
          </w:p>
        </w:tc>
        <w:tc>
          <w:tcPr>
            <w:tcW w:w="1632" w:type="dxa"/>
            <w:vAlign w:val="top"/>
          </w:tcPr>
          <w:p w:rsidR="009520A9" w:rsidRDefault="00770482">
            <w:pPr>
              <w:jc w:val="right"/>
            </w:pPr>
            <w:r>
              <w:t>103.500</w:t>
            </w:r>
          </w:p>
        </w:tc>
        <w:tc>
          <w:tcPr>
            <w:tcW w:w="510" w:type="dxa"/>
            <w:vAlign w:val="top"/>
          </w:tcPr>
          <w:p w:rsidR="009520A9" w:rsidRDefault="00770482">
            <w:pPr>
              <w:jc w:val="right"/>
            </w:pPr>
            <w:r>
              <w:t>100,0</w:t>
            </w:r>
          </w:p>
        </w:tc>
      </w:tr>
    </w:tbl>
    <w:p w:rsidR="009520A9" w:rsidRDefault="009520A9">
      <w:pPr>
        <w:jc w:val="left"/>
      </w:pPr>
    </w:p>
    <w:p w:rsidR="009520A9" w:rsidRDefault="00770482">
      <w:r>
        <w:t>Važnu ulogu i zadaću u stručnom usavršavanju na razini županija imaju istaknuti odgojno-obrazovni radnici, voditelji županijskih stručnih vijeća (ŽSV-a). Uz stručnu i organizacijsku potporu i vodstvo savjetnika Agencije, oni prosljeđuju važne informacije i</w:t>
      </w:r>
      <w:r>
        <w:t xml:space="preserve"> spoznaje ostalim odgojno-obrazovnim radnicima (kaskadni model stručnoga usavršavanja). Agencija je imenovala voditelje ŽSV-a u srednjim školama za razdoblje od 1. rujna 2022. do 31. kolovoza 2024., a sredstva za financiranje njihova rada osiguravaju se u </w:t>
      </w:r>
      <w:r>
        <w:t>državnom proračunu.</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Povećanje uključenosti odgojno-obrazovnih radnika u različite programe stručnog usavršavanja u svrhu kontinuiranog profesionalnog razvoja</w:t>
            </w:r>
          </w:p>
        </w:tc>
        <w:tc>
          <w:tcPr>
            <w:tcW w:w="2245" w:type="dxa"/>
            <w:vAlign w:val="top"/>
          </w:tcPr>
          <w:p w:rsidR="009520A9" w:rsidRDefault="00770482">
            <w:pPr>
              <w:pStyle w:val="CellColumn"/>
              <w:jc w:val="left"/>
            </w:pPr>
            <w:r>
              <w:rPr>
                <w:rFonts w:cs="Times New Roman"/>
              </w:rPr>
              <w:t>Uključenost odgojno-obrazovnih radnika u različite programe stručnog usavršavanja u svrhu kontinuiranog profesionalnog</w:t>
            </w:r>
            <w:r>
              <w:rPr>
                <w:rFonts w:cs="Times New Roman"/>
              </w:rPr>
              <w:t xml:space="preserve"> razvoja</w:t>
            </w:r>
          </w:p>
        </w:tc>
        <w:tc>
          <w:tcPr>
            <w:tcW w:w="918" w:type="dxa"/>
          </w:tcPr>
          <w:p w:rsidR="009520A9" w:rsidRDefault="00770482">
            <w:pPr>
              <w:jc w:val="center"/>
            </w:pPr>
            <w:r>
              <w:t>Broj</w:t>
            </w:r>
          </w:p>
        </w:tc>
        <w:tc>
          <w:tcPr>
            <w:tcW w:w="918" w:type="dxa"/>
          </w:tcPr>
          <w:p w:rsidR="009520A9" w:rsidRDefault="00770482">
            <w:pPr>
              <w:jc w:val="center"/>
            </w:pPr>
            <w:r>
              <w:t>57.491</w:t>
            </w:r>
          </w:p>
        </w:tc>
        <w:tc>
          <w:tcPr>
            <w:tcW w:w="918" w:type="dxa"/>
          </w:tcPr>
          <w:p w:rsidR="009520A9" w:rsidRDefault="00770482">
            <w:pPr>
              <w:pStyle w:val="CellColumn"/>
              <w:jc w:val="center"/>
            </w:pPr>
            <w:r>
              <w:rPr>
                <w:rFonts w:cs="Times New Roman"/>
              </w:rPr>
              <w:t>AZOO</w:t>
            </w:r>
          </w:p>
        </w:tc>
        <w:tc>
          <w:tcPr>
            <w:tcW w:w="918" w:type="dxa"/>
          </w:tcPr>
          <w:p w:rsidR="009520A9" w:rsidRDefault="00770482">
            <w:pPr>
              <w:jc w:val="center"/>
            </w:pPr>
            <w:r>
              <w:t>60.120</w:t>
            </w:r>
          </w:p>
        </w:tc>
        <w:tc>
          <w:tcPr>
            <w:tcW w:w="918" w:type="dxa"/>
          </w:tcPr>
          <w:p w:rsidR="009520A9" w:rsidRDefault="00770482">
            <w:pPr>
              <w:jc w:val="center"/>
            </w:pPr>
            <w:r>
              <w:t>65.140</w:t>
            </w:r>
          </w:p>
        </w:tc>
        <w:tc>
          <w:tcPr>
            <w:tcW w:w="918" w:type="dxa"/>
          </w:tcPr>
          <w:p w:rsidR="009520A9" w:rsidRDefault="00770482">
            <w:pPr>
              <w:jc w:val="center"/>
            </w:pPr>
            <w:r>
              <w:t>69.160</w:t>
            </w:r>
          </w:p>
        </w:tc>
      </w:tr>
    </w:tbl>
    <w:p w:rsidR="009520A9" w:rsidRDefault="009520A9">
      <w:pPr>
        <w:jc w:val="left"/>
      </w:pPr>
    </w:p>
    <w:p w:rsidR="009520A9" w:rsidRDefault="00770482">
      <w:pPr>
        <w:pStyle w:val="Heading4"/>
      </w:pPr>
      <w:r>
        <w:t>A580072 ERASMUS PLUS - PROJEKTI</w:t>
      </w:r>
    </w:p>
    <w:p w:rsidR="009520A9" w:rsidRDefault="00770482">
      <w:pPr>
        <w:pStyle w:val="Heading8"/>
        <w:jc w:val="left"/>
      </w:pPr>
      <w:r>
        <w:t>Zakonske i druge pravne osnove</w:t>
      </w:r>
    </w:p>
    <w:p w:rsidR="009520A9" w:rsidRDefault="00770482">
      <w:r>
        <w:t>Ugovor o dodjeli bespovratnih sredstava između Agencije za mobilnost i programe EU i Agencije za odgoj i obrazovanje</w:t>
      </w:r>
    </w:p>
    <w:tbl>
      <w:tblPr>
        <w:tblStyle w:val="StilTablice"/>
        <w:tblW w:w="10206" w:type="dxa"/>
        <w:jc w:val="center"/>
        <w:tblLook w:val="04A0" w:firstRow="1" w:lastRow="0" w:firstColumn="1" w:lastColumn="0" w:noHBand="0" w:noVBand="1"/>
      </w:tblPr>
      <w:tblGrid>
        <w:gridCol w:w="1477"/>
        <w:gridCol w:w="1567"/>
        <w:gridCol w:w="1552"/>
        <w:gridCol w:w="1552"/>
        <w:gridCol w:w="1544"/>
        <w:gridCol w:w="1544"/>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A580072</w:t>
            </w:r>
          </w:p>
        </w:tc>
        <w:tc>
          <w:tcPr>
            <w:tcW w:w="1632" w:type="dxa"/>
            <w:vAlign w:val="top"/>
          </w:tcPr>
          <w:p w:rsidR="009520A9" w:rsidRDefault="00770482">
            <w:pPr>
              <w:jc w:val="right"/>
            </w:pPr>
            <w:r>
              <w:t>00</w:t>
            </w:r>
          </w:p>
        </w:tc>
        <w:tc>
          <w:tcPr>
            <w:tcW w:w="1632" w:type="dxa"/>
            <w:vAlign w:val="top"/>
          </w:tcPr>
          <w:p w:rsidR="009520A9" w:rsidRDefault="00770482">
            <w:pPr>
              <w:jc w:val="right"/>
            </w:pPr>
            <w:r>
              <w:t>63.725</w:t>
            </w:r>
          </w:p>
        </w:tc>
        <w:tc>
          <w:tcPr>
            <w:tcW w:w="1632" w:type="dxa"/>
            <w:vAlign w:val="top"/>
          </w:tcPr>
          <w:p w:rsidR="009520A9" w:rsidRDefault="00770482">
            <w:pPr>
              <w:jc w:val="right"/>
            </w:pPr>
            <w:r>
              <w:t>38.337</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510" w:type="dxa"/>
            <w:vAlign w:val="top"/>
          </w:tcPr>
          <w:p w:rsidR="009520A9" w:rsidRDefault="00770482">
            <w:pPr>
              <w:jc w:val="right"/>
            </w:pPr>
            <w:r>
              <w:t>60,2</w:t>
            </w:r>
          </w:p>
        </w:tc>
      </w:tr>
    </w:tbl>
    <w:p w:rsidR="009520A9" w:rsidRDefault="009520A9">
      <w:pPr>
        <w:jc w:val="left"/>
      </w:pPr>
    </w:p>
    <w:p w:rsidR="009520A9" w:rsidRDefault="00770482">
      <w:r>
        <w:t>U okviru aktivnosti provest će se akreditacija konzorcija u svrhu razvoja sustava stručnog usavršavanja savjetnika agencije te unapređenje postojećeg sustava stručnog usavršavanja odgojno obrazovnih djelatnika. Osiguravaju se sredstva za rashode za zaposle</w:t>
      </w:r>
      <w:r>
        <w:t>ne i službena putovanja. Projekt se provodio kroz 2023. godinu uz produženje na 2024. godinu</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w:t>
            </w:r>
            <w:r>
              <w:rPr>
                <w:rFonts w:cs="Times New Roman"/>
              </w:rPr>
              <w:t>ednost (2026.)</w:t>
            </w:r>
          </w:p>
        </w:tc>
      </w:tr>
      <w:tr w:rsidR="009520A9">
        <w:trPr>
          <w:jc w:val="center"/>
        </w:trPr>
        <w:tc>
          <w:tcPr>
            <w:tcW w:w="2245" w:type="dxa"/>
            <w:vAlign w:val="top"/>
          </w:tcPr>
          <w:p w:rsidR="009520A9" w:rsidRDefault="00770482">
            <w:pPr>
              <w:pStyle w:val="CellColumn"/>
              <w:jc w:val="left"/>
            </w:pPr>
            <w:r>
              <w:rPr>
                <w:rFonts w:cs="Times New Roman"/>
              </w:rPr>
              <w:t>Povećanje broja službenih putovanja sa svrhom edukacije savjetnika</w:t>
            </w:r>
          </w:p>
        </w:tc>
        <w:tc>
          <w:tcPr>
            <w:tcW w:w="2245" w:type="dxa"/>
            <w:vAlign w:val="top"/>
          </w:tcPr>
          <w:p w:rsidR="009520A9" w:rsidRDefault="00770482">
            <w:pPr>
              <w:pStyle w:val="CellColumn"/>
              <w:jc w:val="left"/>
            </w:pPr>
            <w:r>
              <w:rPr>
                <w:rFonts w:cs="Times New Roman"/>
              </w:rPr>
              <w:t>Broj službenih putovanja</w:t>
            </w:r>
          </w:p>
        </w:tc>
        <w:tc>
          <w:tcPr>
            <w:tcW w:w="918" w:type="dxa"/>
          </w:tcPr>
          <w:p w:rsidR="009520A9" w:rsidRDefault="00770482">
            <w:pPr>
              <w:jc w:val="center"/>
            </w:pPr>
            <w:r>
              <w:t>Broj</w:t>
            </w:r>
          </w:p>
        </w:tc>
        <w:tc>
          <w:tcPr>
            <w:tcW w:w="918" w:type="dxa"/>
          </w:tcPr>
          <w:p w:rsidR="009520A9" w:rsidRDefault="00770482">
            <w:pPr>
              <w:jc w:val="center"/>
            </w:pPr>
            <w:r>
              <w:t>58</w:t>
            </w:r>
          </w:p>
        </w:tc>
        <w:tc>
          <w:tcPr>
            <w:tcW w:w="918" w:type="dxa"/>
          </w:tcPr>
          <w:p w:rsidR="009520A9" w:rsidRDefault="00770482">
            <w:pPr>
              <w:pStyle w:val="CellColumn"/>
              <w:jc w:val="center"/>
            </w:pPr>
            <w:r>
              <w:rPr>
                <w:rFonts w:cs="Times New Roman"/>
              </w:rPr>
              <w:t>AZOO</w:t>
            </w:r>
          </w:p>
        </w:tc>
        <w:tc>
          <w:tcPr>
            <w:tcW w:w="918" w:type="dxa"/>
          </w:tcPr>
          <w:p w:rsidR="009520A9" w:rsidRDefault="00770482">
            <w:pPr>
              <w:jc w:val="center"/>
            </w:pPr>
            <w:r>
              <w:t>36</w:t>
            </w:r>
          </w:p>
        </w:tc>
        <w:tc>
          <w:tcPr>
            <w:tcW w:w="918" w:type="dxa"/>
          </w:tcPr>
          <w:p w:rsidR="009520A9" w:rsidRDefault="00770482">
            <w:pPr>
              <w:jc w:val="center"/>
            </w:pPr>
            <w:r>
              <w:t>0</w:t>
            </w:r>
          </w:p>
        </w:tc>
        <w:tc>
          <w:tcPr>
            <w:tcW w:w="918" w:type="dxa"/>
          </w:tcPr>
          <w:p w:rsidR="009520A9" w:rsidRDefault="00770482">
            <w:pPr>
              <w:jc w:val="center"/>
            </w:pPr>
            <w:r>
              <w:t>0</w:t>
            </w:r>
          </w:p>
        </w:tc>
      </w:tr>
    </w:tbl>
    <w:p w:rsidR="009520A9" w:rsidRDefault="009520A9">
      <w:pPr>
        <w:jc w:val="left"/>
      </w:pPr>
    </w:p>
    <w:p w:rsidR="009520A9" w:rsidRDefault="00770482">
      <w:pPr>
        <w:pStyle w:val="Heading4"/>
      </w:pPr>
      <w:r>
        <w:t>A733001 ADMINISTRACIJA I UPRAVLJANJE AGENCIJE ZA ODGOJ I OBRAZOVANJE</w:t>
      </w:r>
    </w:p>
    <w:p w:rsidR="009520A9" w:rsidRDefault="00770482">
      <w:pPr>
        <w:pStyle w:val="Heading8"/>
        <w:jc w:val="left"/>
      </w:pPr>
      <w:r>
        <w:t>Zakonske i druge pravne osnove</w:t>
      </w:r>
    </w:p>
    <w:p w:rsidR="009520A9" w:rsidRDefault="00770482">
      <w:r>
        <w:t>Zakon o Agenciji za odgoj i obrazovanje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A733001</w:t>
            </w:r>
          </w:p>
        </w:tc>
        <w:tc>
          <w:tcPr>
            <w:tcW w:w="1632" w:type="dxa"/>
            <w:vAlign w:val="top"/>
          </w:tcPr>
          <w:p w:rsidR="009520A9" w:rsidRDefault="00770482">
            <w:pPr>
              <w:jc w:val="right"/>
            </w:pPr>
            <w:r>
              <w:t>3.163.515</w:t>
            </w:r>
          </w:p>
        </w:tc>
        <w:tc>
          <w:tcPr>
            <w:tcW w:w="1632" w:type="dxa"/>
            <w:vAlign w:val="top"/>
          </w:tcPr>
          <w:p w:rsidR="009520A9" w:rsidRDefault="00770482">
            <w:pPr>
              <w:jc w:val="right"/>
            </w:pPr>
            <w:r>
              <w:t>3.724.617</w:t>
            </w:r>
          </w:p>
        </w:tc>
        <w:tc>
          <w:tcPr>
            <w:tcW w:w="1632" w:type="dxa"/>
            <w:vAlign w:val="top"/>
          </w:tcPr>
          <w:p w:rsidR="009520A9" w:rsidRDefault="00770482">
            <w:pPr>
              <w:jc w:val="right"/>
            </w:pPr>
            <w:r>
              <w:t>4.050.790</w:t>
            </w:r>
          </w:p>
        </w:tc>
        <w:tc>
          <w:tcPr>
            <w:tcW w:w="1632" w:type="dxa"/>
            <w:vAlign w:val="top"/>
          </w:tcPr>
          <w:p w:rsidR="009520A9" w:rsidRDefault="00770482">
            <w:pPr>
              <w:jc w:val="right"/>
            </w:pPr>
            <w:r>
              <w:t>4.050.790</w:t>
            </w:r>
          </w:p>
        </w:tc>
        <w:tc>
          <w:tcPr>
            <w:tcW w:w="1632" w:type="dxa"/>
            <w:vAlign w:val="top"/>
          </w:tcPr>
          <w:p w:rsidR="009520A9" w:rsidRDefault="00770482">
            <w:pPr>
              <w:jc w:val="right"/>
            </w:pPr>
            <w:r>
              <w:t>4.050.790</w:t>
            </w:r>
          </w:p>
        </w:tc>
        <w:tc>
          <w:tcPr>
            <w:tcW w:w="510" w:type="dxa"/>
            <w:vAlign w:val="top"/>
          </w:tcPr>
          <w:p w:rsidR="009520A9" w:rsidRDefault="00770482">
            <w:pPr>
              <w:jc w:val="right"/>
            </w:pPr>
            <w:r>
              <w:t>108,8</w:t>
            </w:r>
          </w:p>
        </w:tc>
      </w:tr>
    </w:tbl>
    <w:p w:rsidR="009520A9" w:rsidRDefault="009520A9">
      <w:pPr>
        <w:jc w:val="left"/>
      </w:pPr>
    </w:p>
    <w:p w:rsidR="009520A9" w:rsidRDefault="00770482">
      <w:r>
        <w:t xml:space="preserve">U okviru aktivnosti osiguravaju se sredstva za: rashode za zaposlene (bruto plaće s doprinosima poslodavca); ostale rashode za zaposlene (jubilarne nagrade, otpremnine, pomoći i sl.); materijalne rashode (naknade troškova zaposlenima, rashode za materijal </w:t>
      </w:r>
      <w:r>
        <w:t xml:space="preserve">i energiju, rashode za usluge i ostale rashode poslovanja) te financijske rashode. </w:t>
      </w:r>
    </w:p>
    <w:p w:rsidR="009520A9" w:rsidRDefault="00770482">
      <w:r>
        <w:t>U 2023. godini (stanje na dan 31. kolovoza 2023.) u Agenciji je  zaposleno ukupno 119 osoba, svi na neodređeno vrijeme</w:t>
      </w:r>
    </w:p>
    <w:p w:rsidR="009520A9" w:rsidRDefault="00770482">
      <w:pPr>
        <w:pStyle w:val="Heading4"/>
      </w:pPr>
      <w:r>
        <w:t>A733027 STRUČNO USAVRŠAVANJE U OKVIRU ŽUPANIJSKIH STR</w:t>
      </w:r>
      <w:r>
        <w:t>UČNIH VIJEĆA OSNOVNE ŠKOLE</w:t>
      </w:r>
    </w:p>
    <w:p w:rsidR="009520A9" w:rsidRDefault="00770482">
      <w:pPr>
        <w:pStyle w:val="Heading8"/>
        <w:jc w:val="left"/>
      </w:pPr>
      <w:r>
        <w:t>Zakonske i druge pravne osnove</w:t>
      </w:r>
    </w:p>
    <w:p w:rsidR="009520A9" w:rsidRDefault="00770482">
      <w:r>
        <w:t>Strategija obrazovanja, znanosti i tehnologije; Nacionalni okvirni kurikulum za predškolski odgoj te opće obvezno i srednjoškolsko obrazovanje (Ministarstvo znanosti, obrazovanja i sporta, srpanj, 2</w:t>
      </w:r>
      <w:r>
        <w:t>010.); Zakon o odgoju i obrazovanju u osnovnoj i srednjoj školi; Zakon o Agenciji za odgoj i obrazovanje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A733027</w:t>
            </w:r>
          </w:p>
        </w:tc>
        <w:tc>
          <w:tcPr>
            <w:tcW w:w="1632" w:type="dxa"/>
            <w:vAlign w:val="top"/>
          </w:tcPr>
          <w:p w:rsidR="009520A9" w:rsidRDefault="00770482">
            <w:pPr>
              <w:jc w:val="right"/>
            </w:pPr>
            <w:r>
              <w:t>219.306</w:t>
            </w:r>
          </w:p>
        </w:tc>
        <w:tc>
          <w:tcPr>
            <w:tcW w:w="1632" w:type="dxa"/>
            <w:vAlign w:val="top"/>
          </w:tcPr>
          <w:p w:rsidR="009520A9" w:rsidRDefault="00770482">
            <w:pPr>
              <w:jc w:val="right"/>
            </w:pPr>
            <w:r>
              <w:t>215.540</w:t>
            </w:r>
          </w:p>
        </w:tc>
        <w:tc>
          <w:tcPr>
            <w:tcW w:w="1632" w:type="dxa"/>
            <w:vAlign w:val="top"/>
          </w:tcPr>
          <w:p w:rsidR="009520A9" w:rsidRDefault="00770482">
            <w:pPr>
              <w:jc w:val="right"/>
            </w:pPr>
            <w:r>
              <w:t>219.260</w:t>
            </w:r>
          </w:p>
        </w:tc>
        <w:tc>
          <w:tcPr>
            <w:tcW w:w="1632" w:type="dxa"/>
            <w:vAlign w:val="top"/>
          </w:tcPr>
          <w:p w:rsidR="009520A9" w:rsidRDefault="00770482">
            <w:pPr>
              <w:jc w:val="right"/>
            </w:pPr>
            <w:r>
              <w:t>219.260</w:t>
            </w:r>
          </w:p>
        </w:tc>
        <w:tc>
          <w:tcPr>
            <w:tcW w:w="1632" w:type="dxa"/>
            <w:vAlign w:val="top"/>
          </w:tcPr>
          <w:p w:rsidR="009520A9" w:rsidRDefault="00770482">
            <w:pPr>
              <w:jc w:val="right"/>
            </w:pPr>
            <w:r>
              <w:t>219.260</w:t>
            </w:r>
          </w:p>
        </w:tc>
        <w:tc>
          <w:tcPr>
            <w:tcW w:w="510" w:type="dxa"/>
            <w:vAlign w:val="top"/>
          </w:tcPr>
          <w:p w:rsidR="009520A9" w:rsidRDefault="00770482">
            <w:pPr>
              <w:jc w:val="right"/>
            </w:pPr>
            <w:r>
              <w:t>101,7</w:t>
            </w:r>
          </w:p>
        </w:tc>
      </w:tr>
    </w:tbl>
    <w:p w:rsidR="009520A9" w:rsidRDefault="009520A9">
      <w:pPr>
        <w:jc w:val="left"/>
      </w:pPr>
    </w:p>
    <w:p w:rsidR="009520A9" w:rsidRDefault="00770482">
      <w:r>
        <w:t>Važnu ulogu i zadaću u stručnom usavršavanju na razini županija imaju istaknuti odgojno-obrazovni radnici, voditelji županijskih stručnih vijeća (ŽSV-a). Njihovo iskustvo i stručnost koristi se u edukaciji ostalih odgojno-obrazovnih radnika u sustavu odgoj</w:t>
      </w:r>
      <w:r>
        <w:t>a i obrazovanja na način da svaki voditelj ŽSV-a godišnje organizira najmanje tri stručna skupa za pedesetak sudionika. Uz stručnu i organizacijsku potporu i vodstvo savjetnika Agencije za odgoj i obrazovanje (dalje u tekstu: Agencija), oni prosljeđuju važ</w:t>
      </w:r>
      <w:r>
        <w:t>ne informacije i spoznaje ostalim odgojno-obrazovnim radnicima (kaskadni model stručnoga usavršavanja). Agencija je imenovala voditelje ŽSV-a u osnovnim školama za razdoblje od 1. rujna 2022. do 31. kolovoza 2024., a sredstva za financiranje njihova rada o</w:t>
      </w:r>
      <w:r>
        <w:t>siguravaju se u državnom proračunu (za voditelje ŽSV-a u osnovnim školama na poziciji proračuna Agencije, a za voditelje ŽSV-a u srednjim školama na poziciji proračuna MZO).</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51"/>
        <w:gridCol w:w="2250"/>
        <w:gridCol w:w="920"/>
        <w:gridCol w:w="920"/>
        <w:gridCol w:w="1105"/>
        <w:gridCol w:w="920"/>
        <w:gridCol w:w="920"/>
        <w:gridCol w:w="920"/>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Stručno usavršavanje odgojno-obrazovnih radnika u organizaciji voditelja županijskih stručnih vijeća</w:t>
            </w:r>
          </w:p>
        </w:tc>
        <w:tc>
          <w:tcPr>
            <w:tcW w:w="2245" w:type="dxa"/>
            <w:vAlign w:val="top"/>
          </w:tcPr>
          <w:p w:rsidR="009520A9" w:rsidRDefault="00770482">
            <w:pPr>
              <w:pStyle w:val="CellColumn"/>
              <w:jc w:val="left"/>
            </w:pPr>
            <w:r>
              <w:rPr>
                <w:rFonts w:cs="Times New Roman"/>
              </w:rPr>
              <w:t>održani stručni skupovi</w:t>
            </w:r>
          </w:p>
        </w:tc>
        <w:tc>
          <w:tcPr>
            <w:tcW w:w="918" w:type="dxa"/>
          </w:tcPr>
          <w:p w:rsidR="009520A9" w:rsidRDefault="00770482">
            <w:pPr>
              <w:jc w:val="center"/>
            </w:pPr>
            <w:r>
              <w:t>Broj</w:t>
            </w:r>
          </w:p>
        </w:tc>
        <w:tc>
          <w:tcPr>
            <w:tcW w:w="918" w:type="dxa"/>
          </w:tcPr>
          <w:p w:rsidR="009520A9" w:rsidRDefault="00770482">
            <w:pPr>
              <w:jc w:val="center"/>
            </w:pPr>
            <w:r>
              <w:t>1.987</w:t>
            </w:r>
          </w:p>
        </w:tc>
        <w:tc>
          <w:tcPr>
            <w:tcW w:w="918" w:type="dxa"/>
          </w:tcPr>
          <w:p w:rsidR="009520A9" w:rsidRDefault="00770482">
            <w:pPr>
              <w:pStyle w:val="CellColumn"/>
              <w:jc w:val="center"/>
            </w:pPr>
            <w:r>
              <w:rPr>
                <w:rFonts w:cs="Times New Roman"/>
              </w:rPr>
              <w:t>elektronička aplikacija</w:t>
            </w:r>
          </w:p>
        </w:tc>
        <w:tc>
          <w:tcPr>
            <w:tcW w:w="918" w:type="dxa"/>
          </w:tcPr>
          <w:p w:rsidR="009520A9" w:rsidRDefault="00770482">
            <w:pPr>
              <w:jc w:val="center"/>
            </w:pPr>
            <w:r>
              <w:t>2.200</w:t>
            </w:r>
          </w:p>
        </w:tc>
        <w:tc>
          <w:tcPr>
            <w:tcW w:w="918" w:type="dxa"/>
          </w:tcPr>
          <w:p w:rsidR="009520A9" w:rsidRDefault="00770482">
            <w:pPr>
              <w:jc w:val="center"/>
            </w:pPr>
            <w:r>
              <w:t>3.000</w:t>
            </w:r>
          </w:p>
        </w:tc>
        <w:tc>
          <w:tcPr>
            <w:tcW w:w="918" w:type="dxa"/>
          </w:tcPr>
          <w:p w:rsidR="009520A9" w:rsidRDefault="00770482">
            <w:pPr>
              <w:jc w:val="center"/>
            </w:pPr>
            <w:r>
              <w:t>3.300</w:t>
            </w:r>
          </w:p>
        </w:tc>
      </w:tr>
    </w:tbl>
    <w:p w:rsidR="009520A9" w:rsidRDefault="009520A9">
      <w:pPr>
        <w:jc w:val="left"/>
      </w:pPr>
    </w:p>
    <w:p w:rsidR="009520A9" w:rsidRDefault="00770482">
      <w:pPr>
        <w:pStyle w:val="Heading4"/>
      </w:pPr>
      <w:r>
        <w:t>A733032 IZVANNASTAVNE AKTIVNOSTI U OSNOVNIM I SREDNJIM ŠKOLAMA-NATJECANJE</w:t>
      </w:r>
    </w:p>
    <w:p w:rsidR="009520A9" w:rsidRDefault="00770482">
      <w:pPr>
        <w:pStyle w:val="Heading8"/>
        <w:jc w:val="left"/>
      </w:pPr>
      <w:r>
        <w:t>Zakonske i druge pravne osnove</w:t>
      </w:r>
    </w:p>
    <w:p w:rsidR="009520A9" w:rsidRDefault="00770482">
      <w:r>
        <w:t>Zakon o odgoju i obrazovanju u osnovnoj i srednjoj školi;  Zakon o Agenciji za odgoj i obrazovanje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r>
              <w:rPr>
                <w:rFonts w:cs="Times New Roman"/>
              </w:rPr>
              <w:t>.</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A733032</w:t>
            </w:r>
          </w:p>
        </w:tc>
        <w:tc>
          <w:tcPr>
            <w:tcW w:w="1632" w:type="dxa"/>
            <w:vAlign w:val="top"/>
          </w:tcPr>
          <w:p w:rsidR="009520A9" w:rsidRDefault="00770482">
            <w:pPr>
              <w:jc w:val="right"/>
            </w:pPr>
            <w:r>
              <w:t>1.023.693</w:t>
            </w:r>
          </w:p>
        </w:tc>
        <w:tc>
          <w:tcPr>
            <w:tcW w:w="1632" w:type="dxa"/>
            <w:vAlign w:val="top"/>
          </w:tcPr>
          <w:p w:rsidR="009520A9" w:rsidRDefault="00770482">
            <w:pPr>
              <w:jc w:val="right"/>
            </w:pPr>
            <w:r>
              <w:t>1.299.261</w:t>
            </w:r>
          </w:p>
        </w:tc>
        <w:tc>
          <w:tcPr>
            <w:tcW w:w="1632" w:type="dxa"/>
            <w:vAlign w:val="top"/>
          </w:tcPr>
          <w:p w:rsidR="009520A9" w:rsidRDefault="00770482">
            <w:pPr>
              <w:jc w:val="right"/>
            </w:pPr>
            <w:r>
              <w:t>1.307.660</w:t>
            </w:r>
          </w:p>
        </w:tc>
        <w:tc>
          <w:tcPr>
            <w:tcW w:w="1632" w:type="dxa"/>
            <w:vAlign w:val="top"/>
          </w:tcPr>
          <w:p w:rsidR="009520A9" w:rsidRDefault="00770482">
            <w:pPr>
              <w:jc w:val="right"/>
            </w:pPr>
            <w:r>
              <w:t>1.301.660</w:t>
            </w:r>
          </w:p>
        </w:tc>
        <w:tc>
          <w:tcPr>
            <w:tcW w:w="1632" w:type="dxa"/>
            <w:vAlign w:val="top"/>
          </w:tcPr>
          <w:p w:rsidR="009520A9" w:rsidRDefault="00770482">
            <w:pPr>
              <w:jc w:val="right"/>
            </w:pPr>
            <w:r>
              <w:t>1.301.660</w:t>
            </w:r>
          </w:p>
        </w:tc>
        <w:tc>
          <w:tcPr>
            <w:tcW w:w="510" w:type="dxa"/>
            <w:vAlign w:val="top"/>
          </w:tcPr>
          <w:p w:rsidR="009520A9" w:rsidRDefault="00770482">
            <w:pPr>
              <w:jc w:val="right"/>
            </w:pPr>
            <w:r>
              <w:t>100,6</w:t>
            </w:r>
          </w:p>
        </w:tc>
      </w:tr>
    </w:tbl>
    <w:p w:rsidR="009520A9" w:rsidRDefault="009520A9">
      <w:pPr>
        <w:jc w:val="left"/>
      </w:pPr>
    </w:p>
    <w:p w:rsidR="009520A9" w:rsidRDefault="00770482">
      <w:r>
        <w:t>Temeljni cilj organizacije i provođenja natjecanja i smotri za učenike osnovnih i srednjih škola je uključivanje darovitih i nadarenih učenika u sustav natjecanja i smotri, a u svrhu razvoja svih njihovih potencijala u području osobnog interesa. Svrha natj</w:t>
      </w:r>
      <w:r>
        <w:t xml:space="preserve">ecanja i smotri: </w:t>
      </w:r>
    </w:p>
    <w:p w:rsidR="009520A9" w:rsidRDefault="00770482">
      <w:r>
        <w:t xml:space="preserve">• predstavljanje rezultata rada, znanja, vještina, sposobnosti i kompetencija učenika i njihovih mentora na određenom području, </w:t>
      </w:r>
    </w:p>
    <w:p w:rsidR="009520A9" w:rsidRDefault="00770482">
      <w:r>
        <w:t xml:space="preserve">• poticanje i motiviranje na sudjelovanje te međusobno natjecanje učenika i natjecanje učenika sa samim sobom. </w:t>
      </w:r>
    </w:p>
    <w:p w:rsidR="009520A9" w:rsidRDefault="00770482">
      <w:r>
        <w:t xml:space="preserve">Agencija za odgoj i obrazovanje je u 2023. godini će organizirala, koordinirala i financijski pratila 38 natjecanja i smotri, koja se provode u </w:t>
      </w:r>
      <w:r>
        <w:t>8 područja (jezično-umjetničko, prirodoslovno-matematičko, humanističko, tehničko, umjetničko, zdravstveno, ekološko i ostali programi) na školskoj, županijskoj i državnoj razini. Cilj je predstaviti rezultate rada, znanja, vještina, sposobnosti i kompeten</w:t>
      </w:r>
      <w:r>
        <w:t>cija učenika i njihovih mentora na određenom području, poticati i motivirati na sudjelovanje te međusobno natjecanje učenika. Natjecanjima su obuhvaćeni učenici osnovnih škola, gimnazija, umjetničkih škola i učenici strukovnih škola iz općeobrazovnih predm</w:t>
      </w:r>
      <w:r>
        <w:t xml:space="preserve">eta. </w:t>
      </w:r>
    </w:p>
    <w:p w:rsidR="009520A9" w:rsidRDefault="00770482">
      <w:r>
        <w:t>Na školskoj razini natjecanja i smotri sudjeluje oko 130.000 učenika, na županijskoj razini oko 40 000 učenika, a oko 4 500 učenika sudjeluje na državnoj razini. U lipnju 2023. održana je tradicionalna svečanost uručivanja Oskara znanja učenicima osn</w:t>
      </w:r>
      <w:r>
        <w:t>ovnih i srednjih škola, pobjednicima državnih natjecanja i učenicima koji su osvojili jedno od prva tri mjesta na međunarodnim natjecanjima, kao i njihovim učiteljima i nastavnicima mentorima.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Povećanje broja učenika uključenih u sustav natjecanja i smotri na školskoj razini</w:t>
            </w:r>
          </w:p>
        </w:tc>
        <w:tc>
          <w:tcPr>
            <w:tcW w:w="2245" w:type="dxa"/>
            <w:vAlign w:val="top"/>
          </w:tcPr>
          <w:p w:rsidR="009520A9" w:rsidRDefault="00770482">
            <w:pPr>
              <w:pStyle w:val="CellColumn"/>
              <w:jc w:val="left"/>
            </w:pPr>
            <w:r>
              <w:rPr>
                <w:rFonts w:cs="Times New Roman"/>
              </w:rPr>
              <w:t>broj učenika koji sudjeluju na školskoj razini natjecanja i smotri</w:t>
            </w:r>
          </w:p>
        </w:tc>
        <w:tc>
          <w:tcPr>
            <w:tcW w:w="918" w:type="dxa"/>
          </w:tcPr>
          <w:p w:rsidR="009520A9" w:rsidRDefault="00770482">
            <w:pPr>
              <w:jc w:val="center"/>
            </w:pPr>
            <w:r>
              <w:t>Broj učenika</w:t>
            </w:r>
          </w:p>
        </w:tc>
        <w:tc>
          <w:tcPr>
            <w:tcW w:w="918" w:type="dxa"/>
          </w:tcPr>
          <w:p w:rsidR="009520A9" w:rsidRDefault="00770482">
            <w:pPr>
              <w:jc w:val="center"/>
            </w:pPr>
            <w:r>
              <w:t>110.349</w:t>
            </w:r>
          </w:p>
        </w:tc>
        <w:tc>
          <w:tcPr>
            <w:tcW w:w="918" w:type="dxa"/>
          </w:tcPr>
          <w:p w:rsidR="009520A9" w:rsidRDefault="00770482">
            <w:pPr>
              <w:pStyle w:val="CellColumn"/>
              <w:jc w:val="center"/>
            </w:pPr>
            <w:r>
              <w:rPr>
                <w:rFonts w:cs="Times New Roman"/>
              </w:rPr>
              <w:t>AZOO</w:t>
            </w:r>
          </w:p>
        </w:tc>
        <w:tc>
          <w:tcPr>
            <w:tcW w:w="918" w:type="dxa"/>
          </w:tcPr>
          <w:p w:rsidR="009520A9" w:rsidRDefault="00770482">
            <w:pPr>
              <w:jc w:val="center"/>
            </w:pPr>
            <w:r>
              <w:t>130.000</w:t>
            </w:r>
          </w:p>
        </w:tc>
        <w:tc>
          <w:tcPr>
            <w:tcW w:w="918" w:type="dxa"/>
          </w:tcPr>
          <w:p w:rsidR="009520A9" w:rsidRDefault="00770482">
            <w:pPr>
              <w:jc w:val="center"/>
            </w:pPr>
            <w:r>
              <w:t>140.000</w:t>
            </w:r>
          </w:p>
        </w:tc>
        <w:tc>
          <w:tcPr>
            <w:tcW w:w="918" w:type="dxa"/>
          </w:tcPr>
          <w:p w:rsidR="009520A9" w:rsidRDefault="00770482">
            <w:pPr>
              <w:jc w:val="center"/>
            </w:pPr>
            <w:r>
              <w:t>140.000</w:t>
            </w:r>
          </w:p>
        </w:tc>
      </w:tr>
      <w:tr w:rsidR="009520A9">
        <w:trPr>
          <w:jc w:val="center"/>
        </w:trPr>
        <w:tc>
          <w:tcPr>
            <w:tcW w:w="2245" w:type="dxa"/>
            <w:vAlign w:val="top"/>
          </w:tcPr>
          <w:p w:rsidR="009520A9" w:rsidRDefault="00770482">
            <w:pPr>
              <w:pStyle w:val="CellColumn"/>
              <w:jc w:val="left"/>
            </w:pPr>
            <w:r>
              <w:rPr>
                <w:rFonts w:cs="Times New Roman"/>
              </w:rPr>
              <w:t>Povećanje broja učenika uključenih u sustav natjecanja i smotri na županijskoj razini</w:t>
            </w:r>
          </w:p>
        </w:tc>
        <w:tc>
          <w:tcPr>
            <w:tcW w:w="2245" w:type="dxa"/>
            <w:vAlign w:val="top"/>
          </w:tcPr>
          <w:p w:rsidR="009520A9" w:rsidRDefault="00770482">
            <w:pPr>
              <w:pStyle w:val="CellColumn"/>
              <w:jc w:val="left"/>
            </w:pPr>
            <w:r>
              <w:rPr>
                <w:rFonts w:cs="Times New Roman"/>
              </w:rPr>
              <w:t>broj učenika koji sudjeluju na županijskoj razini na</w:t>
            </w:r>
            <w:r>
              <w:rPr>
                <w:rFonts w:cs="Times New Roman"/>
              </w:rPr>
              <w:t>tjecanja i smotri</w:t>
            </w:r>
          </w:p>
        </w:tc>
        <w:tc>
          <w:tcPr>
            <w:tcW w:w="918" w:type="dxa"/>
          </w:tcPr>
          <w:p w:rsidR="009520A9" w:rsidRDefault="00770482">
            <w:pPr>
              <w:jc w:val="center"/>
            </w:pPr>
            <w:r>
              <w:t>Broj</w:t>
            </w:r>
          </w:p>
        </w:tc>
        <w:tc>
          <w:tcPr>
            <w:tcW w:w="918" w:type="dxa"/>
          </w:tcPr>
          <w:p w:rsidR="009520A9" w:rsidRDefault="00770482">
            <w:pPr>
              <w:jc w:val="center"/>
            </w:pPr>
            <w:r>
              <w:t>34.493</w:t>
            </w:r>
          </w:p>
        </w:tc>
        <w:tc>
          <w:tcPr>
            <w:tcW w:w="918" w:type="dxa"/>
          </w:tcPr>
          <w:p w:rsidR="009520A9" w:rsidRDefault="00770482">
            <w:pPr>
              <w:pStyle w:val="CellColumn"/>
              <w:jc w:val="center"/>
            </w:pPr>
            <w:r>
              <w:rPr>
                <w:rFonts w:cs="Times New Roman"/>
              </w:rPr>
              <w:t>AZOO</w:t>
            </w:r>
          </w:p>
        </w:tc>
        <w:tc>
          <w:tcPr>
            <w:tcW w:w="918" w:type="dxa"/>
          </w:tcPr>
          <w:p w:rsidR="009520A9" w:rsidRDefault="00770482">
            <w:pPr>
              <w:jc w:val="center"/>
            </w:pPr>
            <w:r>
              <w:t>40.000</w:t>
            </w:r>
          </w:p>
        </w:tc>
        <w:tc>
          <w:tcPr>
            <w:tcW w:w="918" w:type="dxa"/>
          </w:tcPr>
          <w:p w:rsidR="009520A9" w:rsidRDefault="00770482">
            <w:pPr>
              <w:jc w:val="center"/>
            </w:pPr>
            <w:r>
              <w:t>45.000</w:t>
            </w:r>
          </w:p>
        </w:tc>
        <w:tc>
          <w:tcPr>
            <w:tcW w:w="918" w:type="dxa"/>
          </w:tcPr>
          <w:p w:rsidR="009520A9" w:rsidRDefault="00770482">
            <w:pPr>
              <w:jc w:val="center"/>
            </w:pPr>
            <w:r>
              <w:t>45.000</w:t>
            </w:r>
          </w:p>
        </w:tc>
      </w:tr>
    </w:tbl>
    <w:p w:rsidR="009520A9" w:rsidRDefault="009520A9">
      <w:pPr>
        <w:jc w:val="left"/>
      </w:pPr>
    </w:p>
    <w:p w:rsidR="009520A9" w:rsidRDefault="00770482">
      <w:pPr>
        <w:pStyle w:val="Heading4"/>
      </w:pPr>
      <w:r>
        <w:t>A767022 STRUČNO USAVRŠAVANJE ODGOJNO-OBRAZOVNIH DJELATNIKA U SUSTAVU OSNOVNOG I SREDNJEG ŠKOLSTVA</w:t>
      </w:r>
    </w:p>
    <w:p w:rsidR="009520A9" w:rsidRDefault="00770482">
      <w:pPr>
        <w:pStyle w:val="Heading8"/>
        <w:jc w:val="left"/>
      </w:pPr>
      <w:r>
        <w:t>Zakonske i druge pravne osnove</w:t>
      </w:r>
    </w:p>
    <w:p w:rsidR="009520A9" w:rsidRDefault="00770482">
      <w:r>
        <w:t xml:space="preserve">Zakon o Agenciji o odgoju i obrazovanju  </w:t>
      </w:r>
    </w:p>
    <w:p w:rsidR="009520A9" w:rsidRDefault="00770482">
      <w:r>
        <w:t xml:space="preserve">Zakon o odgoju i obrazovanju u osnovnoj i srednjoj školi  </w:t>
      </w:r>
    </w:p>
    <w:p w:rsidR="009520A9" w:rsidRDefault="00770482">
      <w:r>
        <w:t xml:space="preserve">Zakon o odgoju i obrazovanju na jeziku i pismu nacionalnih manjina  </w:t>
      </w:r>
    </w:p>
    <w:p w:rsidR="009520A9" w:rsidRDefault="00770482">
      <w:r>
        <w:t xml:space="preserve">Program sedam (7) međupredmetnih i interdisciplinarnih sadržaja:   </w:t>
      </w:r>
    </w:p>
    <w:p w:rsidR="009520A9" w:rsidRDefault="00770482">
      <w:r>
        <w:t>1.</w:t>
      </w:r>
      <w:r>
        <w:tab/>
        <w:t>Odluka o donošenju kurikuluma za međupredmetnu temu Građa</w:t>
      </w:r>
      <w:r>
        <w:t xml:space="preserve">nski odgoj i obrazovanje za osnovne i srednje škole u Republici Hrvatskoj  </w:t>
      </w:r>
    </w:p>
    <w:p w:rsidR="009520A9" w:rsidRDefault="00770482">
      <w:r>
        <w:t>2.</w:t>
      </w:r>
      <w:r>
        <w:tab/>
        <w:t xml:space="preserve">Odluka o donošenju kurikuluma za međupredmetnu temu Poduzetništvo za osnovne i srednje škole u Republici Hrvatskoj  </w:t>
      </w:r>
    </w:p>
    <w:p w:rsidR="009520A9" w:rsidRDefault="00770482">
      <w:r>
        <w:t>3.</w:t>
      </w:r>
      <w:r>
        <w:tab/>
        <w:t>Odluka o donošenju kurikuluma za međupredmetnu temu Održi</w:t>
      </w:r>
      <w:r>
        <w:t xml:space="preserve">vi razvoj za osnovne i srednje škole u Republici Hrvatskoj  </w:t>
      </w:r>
    </w:p>
    <w:p w:rsidR="009520A9" w:rsidRDefault="00770482">
      <w:r>
        <w:t>4.</w:t>
      </w:r>
      <w:r>
        <w:tab/>
        <w:t xml:space="preserve">Odluka o donošenju kurikuluma za međupredmetnu temu Osobni i socijalni razvoj za osnovne i srednje škole u Republici Hrvatskoj  </w:t>
      </w:r>
    </w:p>
    <w:p w:rsidR="009520A9" w:rsidRDefault="00770482">
      <w:r>
        <w:t>5.</w:t>
      </w:r>
      <w:r>
        <w:tab/>
        <w:t>Odluka o donošenju kurikuluma za međupredmetnu temu Učiti ka</w:t>
      </w:r>
      <w:r>
        <w:t xml:space="preserve">ko učiti za osnovne i srednje škole u Republici Hrvatskoj,   </w:t>
      </w:r>
    </w:p>
    <w:p w:rsidR="009520A9" w:rsidRDefault="00770482">
      <w:r>
        <w:t>6.</w:t>
      </w:r>
      <w:r>
        <w:tab/>
        <w:t xml:space="preserve">Odluka o donošenju kurikuluma za međupredmetnu temu Uporaba informacijske i komunikacijske tehnologije za osnovne i srednje škole u Republici Hrvatskoj  </w:t>
      </w:r>
    </w:p>
    <w:p w:rsidR="009520A9" w:rsidRDefault="00770482">
      <w:r>
        <w:t>7.</w:t>
      </w:r>
      <w:r>
        <w:tab/>
        <w:t>Odluka o donošenju kurikuluma za m</w:t>
      </w:r>
      <w:r>
        <w:t>eđupredmetnu temu Zdravlje za osnovne škole i srednje škole u Republici Hrvatskoj</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A767022</w:t>
            </w:r>
          </w:p>
        </w:tc>
        <w:tc>
          <w:tcPr>
            <w:tcW w:w="1632" w:type="dxa"/>
            <w:vAlign w:val="top"/>
          </w:tcPr>
          <w:p w:rsidR="009520A9" w:rsidRDefault="00770482">
            <w:pPr>
              <w:jc w:val="right"/>
            </w:pPr>
            <w:r>
              <w:t>239.295</w:t>
            </w:r>
          </w:p>
        </w:tc>
        <w:tc>
          <w:tcPr>
            <w:tcW w:w="1632" w:type="dxa"/>
            <w:vAlign w:val="top"/>
          </w:tcPr>
          <w:p w:rsidR="009520A9" w:rsidRDefault="00770482">
            <w:pPr>
              <w:jc w:val="right"/>
            </w:pPr>
            <w:r>
              <w:t>226.254</w:t>
            </w:r>
          </w:p>
        </w:tc>
        <w:tc>
          <w:tcPr>
            <w:tcW w:w="1632" w:type="dxa"/>
            <w:vAlign w:val="top"/>
          </w:tcPr>
          <w:p w:rsidR="009520A9" w:rsidRDefault="00770482">
            <w:pPr>
              <w:jc w:val="right"/>
            </w:pPr>
            <w:r>
              <w:t>275.510</w:t>
            </w:r>
          </w:p>
        </w:tc>
        <w:tc>
          <w:tcPr>
            <w:tcW w:w="1632" w:type="dxa"/>
            <w:vAlign w:val="top"/>
          </w:tcPr>
          <w:p w:rsidR="009520A9" w:rsidRDefault="00770482">
            <w:pPr>
              <w:jc w:val="right"/>
            </w:pPr>
            <w:r>
              <w:t>271.378</w:t>
            </w:r>
          </w:p>
        </w:tc>
        <w:tc>
          <w:tcPr>
            <w:tcW w:w="1632" w:type="dxa"/>
            <w:vAlign w:val="top"/>
          </w:tcPr>
          <w:p w:rsidR="009520A9" w:rsidRDefault="00770482">
            <w:pPr>
              <w:jc w:val="right"/>
            </w:pPr>
            <w:r>
              <w:t>271.378</w:t>
            </w:r>
          </w:p>
        </w:tc>
        <w:tc>
          <w:tcPr>
            <w:tcW w:w="510" w:type="dxa"/>
            <w:vAlign w:val="top"/>
          </w:tcPr>
          <w:p w:rsidR="009520A9" w:rsidRDefault="00770482">
            <w:pPr>
              <w:jc w:val="right"/>
            </w:pPr>
            <w:r>
              <w:t>121,8</w:t>
            </w:r>
          </w:p>
        </w:tc>
      </w:tr>
    </w:tbl>
    <w:p w:rsidR="009520A9" w:rsidRDefault="009520A9">
      <w:pPr>
        <w:jc w:val="left"/>
      </w:pPr>
    </w:p>
    <w:p w:rsidR="009520A9" w:rsidRDefault="00770482">
      <w:r>
        <w:t>Navedenom Aktivnosti planirana su sredstva za djelatnost Agencije, odnosno obavljanje stručnih i savjetodavnih poslova u odgoju i obrazovanju. Agencija sudjeluje u praćenju, unaprjeđivanju i razvoju odgoja i obrazovanja na području predškolskog, osnovnoško</w:t>
      </w:r>
      <w:r>
        <w:t xml:space="preserve">lskog i srednjoškolskog odgoja i obrazovanja, obrazovanja odraslih te školovanja djece hrvatskih građana u inozemstvu i djece stranih državljana.  </w:t>
      </w:r>
    </w:p>
    <w:p w:rsidR="009520A9" w:rsidRDefault="00770482">
      <w:r>
        <w:t>U skladu s propisima organizira i provodi stručno usavršavanje odgojno-obrazovnih radnika i ravnatelja te različitim oblicima savjetovanja pruža stručnu pomoć odgojno-obrazovnim ustanovama: njihovim ravnateljima, odgojiteljima, učiteljima, nastavnicima i s</w:t>
      </w:r>
      <w:r>
        <w:t>tručnim suradnicima (svim odgojno-obrazovnim radnicima). Prema potrebi i pozivu, odgojno-obrazovne ustanove, odgojno-obrazovnog radnika, roditelja ili učenika Agencija, sukladno Zakonu, obavlja stručno-pedagoški nadzor nad radom odgajatelja, učitelja, nast</w:t>
      </w:r>
      <w:r>
        <w:t xml:space="preserve">avnika, stručnih suradnika i ravnatelja.  </w:t>
      </w:r>
    </w:p>
    <w:p w:rsidR="009520A9" w:rsidRDefault="00770482">
      <w:r>
        <w:t xml:space="preserve">Agencija prati ostvarivanje pripravničkog staža kao procesa uvođenja odgojno-obrazovnih radnika – pripravnika u rad i pripremanje za polaganje stručnoga ispiti te provodi stručne ispite temeljem posebnih propisa. </w:t>
      </w:r>
      <w:r>
        <w:t xml:space="preserve">Viši savjetnici Agencije, u skladu s propisima, pripremaju i provode postupak napredovanja odgojno-obrazovnih radnika.  </w:t>
      </w:r>
    </w:p>
    <w:p w:rsidR="009520A9" w:rsidRDefault="00770482">
      <w:r>
        <w:t>Na temelju stručnih analiza daju se mišljenja o programima u predškolskom odgoju, nastavnim programima i osnovnim školama i gimnazijama</w:t>
      </w:r>
      <w:r>
        <w:t xml:space="preserve">, općeobrazovnim programima u strukovnom obrazovanje i obrazovanje odraslih te mišljenja o nastavnim programima općeobrazovnih predmeta u postupku verifikacije odgojno-obrazovnih ustanova.  </w:t>
      </w:r>
    </w:p>
    <w:p w:rsidR="009520A9" w:rsidRDefault="00770482">
      <w:r>
        <w:t>Agencija sudjeluje u izradi i praćenju nacionalnih programa, u me</w:t>
      </w:r>
      <w:r>
        <w:t xml:space="preserve">đunarodnim i drugim projektima te provodi postupak priznavanja inozemnih odgojno-obrazovnih kvalifikacija. U skladu s propisima Agencija daje stručna mišljenja o dopunskim obrazovnim materijalima.  </w:t>
      </w:r>
    </w:p>
    <w:p w:rsidR="009520A9" w:rsidRDefault="00770482">
      <w:r>
        <w:t>Agencija će postojećim ljudskim potencijalima i resursima</w:t>
      </w:r>
      <w:r>
        <w:t>, a sukladno svojoj ulozi  definiranoj Zakonom, aktivno sudjelovati u razvoju i provedbi kurikularne reforme te će u njezinu izvršenju osigurati stalnu stručnu potporu odgojiteljima, učiteljima, nastavnicima, stručnim suradnicima, ravnateljima i odgojno-ob</w:t>
      </w:r>
      <w:r>
        <w:t>razovnim ustanovama za ciljana stručna usavršavanja  u svrhu provedbe kurikularne reforme. Ostvarivanje provedbe navedenog cilja osigurat će se korištenjem svih stručnih potencijala na lokalnoj razini primjenom kaskadnog modela stručnog usavršavanja: angaž</w:t>
      </w:r>
      <w:r>
        <w:t>iranjem voditelja županijskih stručnih vijeća, odgojitelja, učitelja, nastavnika i stručnih suradnika promaknutih u zvanja mentora i savjetnika uključujući ih u stručno usavršavanje odgojno-obrazovnih radnika. Agencija za odgoj i obrazovanje razvija progra</w:t>
      </w:r>
      <w:r>
        <w:t xml:space="preserve">m stručnog usavršavanja učitelja i nastavnika kako bi stekli osposobljenost za provođenje građanskog odgoja i obrazovanja.  </w:t>
      </w:r>
    </w:p>
    <w:p w:rsidR="009520A9" w:rsidRDefault="00770482">
      <w:r>
        <w:t>Stručno usavršavanje vezano za odgoj i obrazovanje nacionalnih manjina obuhvatit će aktivnosti vezane za unaprjeđivanje odgoja i ob</w:t>
      </w:r>
      <w:r>
        <w:t>razovanja učenika pripadnika nacionalnih manjina i zajednica koje se školuju u Republici Hrvatskoj, a provodit će se u suradnji s Upravom za potporu i unaprjeđenje sustava odgoja i obrazovanja Ministarstva znanosti i obrazovanja te Uredom za nacionalne man</w:t>
      </w:r>
      <w:r>
        <w:t xml:space="preserve">jine Vlade Republike Hrvatske.  </w:t>
      </w:r>
    </w:p>
    <w:p w:rsidR="009520A9" w:rsidRDefault="00770482">
      <w:r>
        <w:t>U okviru svoje djelatnosti Agencija sudjeluje u praćenju, unapređivanju i razvoja odgoja i obrazovanja na području predškolskog, osnovnoškolskog i srednjoškolskog odgoja i obrazovanja te školovanja djece hrvatskih građana u</w:t>
      </w:r>
      <w:r>
        <w:t xml:space="preserve"> inozemstvu i djece stranih državljana. U skladu s Ustavom RH te zakonskim i provedbenim propisima u ostvarenju navedenog cilja Agencija svake godine organizira Međunarodni stručni skup za odgojno-obrazovne radnike (odgajatelje, učitelje i nastavnike) prip</w:t>
      </w:r>
      <w:r>
        <w:t xml:space="preserve">adnike hrvatske nacionalne manjine i iseljenika u inozemstvu čiji je cilj stručno osposobljavanje i usavršavanje odgojno-obrazovnih radnika koji se bave školovanjem djece hrvatskih građana u inozemstvu. Ujedno se, u skladu s postojećim zakonskim odredbama </w:t>
      </w:r>
      <w:r>
        <w:t>i sklopljenim međunarodnim ugovorima, svake godine organizira Međunarodni stručni skup učenje i poučavanje o Holokaustu i sprečavanju zločina protiv čovječnosti, čiji je cilj stručno osposobljavanje i usavršavanje odgojno-obrazovnih radnika za učenje i pou</w:t>
      </w:r>
      <w:r>
        <w:t>čavanje o Holokaustu.</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51"/>
        <w:gridCol w:w="2250"/>
        <w:gridCol w:w="920"/>
        <w:gridCol w:w="920"/>
        <w:gridCol w:w="1105"/>
        <w:gridCol w:w="920"/>
        <w:gridCol w:w="920"/>
        <w:gridCol w:w="920"/>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Udio održanih skupova u ukupnom broju planiranih skupova</w:t>
            </w:r>
          </w:p>
        </w:tc>
        <w:tc>
          <w:tcPr>
            <w:tcW w:w="2245" w:type="dxa"/>
            <w:vAlign w:val="top"/>
          </w:tcPr>
          <w:p w:rsidR="009520A9" w:rsidRDefault="00770482">
            <w:pPr>
              <w:pStyle w:val="CellColumn"/>
              <w:jc w:val="left"/>
            </w:pPr>
            <w:r>
              <w:rPr>
                <w:rFonts w:cs="Times New Roman"/>
              </w:rPr>
              <w:t>Održani stručni skupovi</w:t>
            </w:r>
          </w:p>
        </w:tc>
        <w:tc>
          <w:tcPr>
            <w:tcW w:w="918" w:type="dxa"/>
          </w:tcPr>
          <w:p w:rsidR="009520A9" w:rsidRDefault="00770482">
            <w:pPr>
              <w:jc w:val="center"/>
            </w:pPr>
            <w:r>
              <w:t>Broj skupova</w:t>
            </w:r>
          </w:p>
        </w:tc>
        <w:tc>
          <w:tcPr>
            <w:tcW w:w="918" w:type="dxa"/>
          </w:tcPr>
          <w:p w:rsidR="009520A9" w:rsidRDefault="00770482">
            <w:pPr>
              <w:jc w:val="center"/>
            </w:pPr>
            <w:r>
              <w:t>2.437</w:t>
            </w:r>
          </w:p>
        </w:tc>
        <w:tc>
          <w:tcPr>
            <w:tcW w:w="918" w:type="dxa"/>
          </w:tcPr>
          <w:p w:rsidR="009520A9" w:rsidRDefault="00770482">
            <w:pPr>
              <w:pStyle w:val="CellColumn"/>
              <w:jc w:val="center"/>
            </w:pPr>
            <w:r>
              <w:rPr>
                <w:rFonts w:cs="Times New Roman"/>
              </w:rPr>
              <w:t>elektronička aplikacija</w:t>
            </w:r>
          </w:p>
        </w:tc>
        <w:tc>
          <w:tcPr>
            <w:tcW w:w="918" w:type="dxa"/>
          </w:tcPr>
          <w:p w:rsidR="009520A9" w:rsidRDefault="00770482">
            <w:pPr>
              <w:jc w:val="center"/>
            </w:pPr>
            <w:r>
              <w:t>3.250</w:t>
            </w:r>
          </w:p>
        </w:tc>
        <w:tc>
          <w:tcPr>
            <w:tcW w:w="918" w:type="dxa"/>
          </w:tcPr>
          <w:p w:rsidR="009520A9" w:rsidRDefault="00770482">
            <w:pPr>
              <w:jc w:val="center"/>
            </w:pPr>
            <w:r>
              <w:t>3.260</w:t>
            </w:r>
          </w:p>
        </w:tc>
        <w:tc>
          <w:tcPr>
            <w:tcW w:w="918" w:type="dxa"/>
          </w:tcPr>
          <w:p w:rsidR="009520A9" w:rsidRDefault="00770482">
            <w:pPr>
              <w:jc w:val="center"/>
            </w:pPr>
            <w:r>
              <w:t>3.270</w:t>
            </w:r>
          </w:p>
        </w:tc>
      </w:tr>
    </w:tbl>
    <w:p w:rsidR="009520A9" w:rsidRDefault="009520A9">
      <w:pPr>
        <w:jc w:val="left"/>
      </w:pPr>
    </w:p>
    <w:p w:rsidR="009520A9" w:rsidRDefault="00770482">
      <w:pPr>
        <w:pStyle w:val="Heading4"/>
      </w:pPr>
      <w:r>
        <w:t>K579074 PROGRAM UČINKOVITI LJUDSKI POTENCIJALI 2021.-2027.</w:t>
      </w:r>
    </w:p>
    <w:p w:rsidR="009520A9" w:rsidRDefault="00770482">
      <w:pPr>
        <w:pStyle w:val="Heading8"/>
        <w:jc w:val="left"/>
      </w:pPr>
      <w:r>
        <w:t>Zakonske i druge pravne osnove</w:t>
      </w:r>
    </w:p>
    <w:p w:rsidR="009520A9" w:rsidRDefault="00770482">
      <w:r>
        <w:t>U tijeku je usuglašavanje proračuna i uputa za prijavitelje na temelju kojih će biti potpisan ugovor o dodjeli bespovratnih sredstava (planirano trajanje projekta 2024.-2028.).</w:t>
      </w:r>
    </w:p>
    <w:tbl>
      <w:tblPr>
        <w:tblStyle w:val="StilTablice"/>
        <w:tblW w:w="10206" w:type="dxa"/>
        <w:jc w:val="center"/>
        <w:tblLook w:val="04A0" w:firstRow="1" w:lastRow="0" w:firstColumn="1" w:lastColumn="0" w:noHBand="0" w:noVBand="1"/>
      </w:tblPr>
      <w:tblGrid>
        <w:gridCol w:w="1468"/>
        <w:gridCol w:w="1555"/>
        <w:gridCol w:w="1527"/>
        <w:gridCol w:w="1562"/>
        <w:gridCol w:w="1562"/>
        <w:gridCol w:w="1562"/>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w:t>
            </w:r>
            <w:r>
              <w:rPr>
                <w:rFonts w:cs="Times New Roman"/>
              </w:rPr>
              <w:t>deks 2024/2023</w:t>
            </w:r>
          </w:p>
        </w:tc>
      </w:tr>
      <w:tr w:rsidR="009520A9">
        <w:trPr>
          <w:jc w:val="center"/>
        </w:trPr>
        <w:tc>
          <w:tcPr>
            <w:tcW w:w="1530" w:type="dxa"/>
            <w:vAlign w:val="top"/>
          </w:tcPr>
          <w:p w:rsidR="009520A9" w:rsidRDefault="00770482">
            <w:pPr>
              <w:pStyle w:val="CellColumn"/>
              <w:jc w:val="left"/>
            </w:pPr>
            <w:r>
              <w:rPr>
                <w:rFonts w:cs="Times New Roman"/>
              </w:rPr>
              <w:t>K579074</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1632" w:type="dxa"/>
            <w:vAlign w:val="top"/>
          </w:tcPr>
          <w:p w:rsidR="009520A9" w:rsidRDefault="00770482">
            <w:pPr>
              <w:jc w:val="right"/>
            </w:pPr>
            <w:r>
              <w:t>8.113.000</w:t>
            </w:r>
          </w:p>
        </w:tc>
        <w:tc>
          <w:tcPr>
            <w:tcW w:w="1632" w:type="dxa"/>
            <w:vAlign w:val="top"/>
          </w:tcPr>
          <w:p w:rsidR="009520A9" w:rsidRDefault="00770482">
            <w:pPr>
              <w:jc w:val="right"/>
            </w:pPr>
            <w:r>
              <w:t>8.618.750</w:t>
            </w:r>
          </w:p>
        </w:tc>
        <w:tc>
          <w:tcPr>
            <w:tcW w:w="1632" w:type="dxa"/>
            <w:vAlign w:val="top"/>
          </w:tcPr>
          <w:p w:rsidR="009520A9" w:rsidRDefault="00770482">
            <w:pPr>
              <w:jc w:val="right"/>
            </w:pPr>
            <w:r>
              <w:t>8.618.750</w:t>
            </w:r>
          </w:p>
        </w:tc>
        <w:tc>
          <w:tcPr>
            <w:tcW w:w="510" w:type="dxa"/>
            <w:vAlign w:val="top"/>
          </w:tcPr>
          <w:p w:rsidR="009520A9" w:rsidRDefault="00770482">
            <w:pPr>
              <w:jc w:val="right"/>
            </w:pPr>
            <w:r>
              <w:t>0,0</w:t>
            </w:r>
          </w:p>
        </w:tc>
      </w:tr>
    </w:tbl>
    <w:p w:rsidR="009520A9" w:rsidRDefault="009520A9">
      <w:pPr>
        <w:jc w:val="left"/>
      </w:pPr>
    </w:p>
    <w:p w:rsidR="009520A9" w:rsidRDefault="00770482">
      <w:r>
        <w:t>U okviru aktivnosti, cilj projekta je stvoriti sustav koji će podržati jednak pristup kvalitetnom i uključivom osposobljavanju i stručnom usavršavanju, što će omogućiti svim sudionicima odgojno-obrazovnog sustava da razvijaju svoje vještine i potencijal te</w:t>
      </w:r>
      <w:r>
        <w:t xml:space="preserve"> doprinose društvu na pozitivan način.</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Povećanje broja službenih putovanja sa svrhom edukacije savjetnika</w:t>
            </w:r>
          </w:p>
        </w:tc>
        <w:tc>
          <w:tcPr>
            <w:tcW w:w="2245" w:type="dxa"/>
            <w:vAlign w:val="top"/>
          </w:tcPr>
          <w:p w:rsidR="009520A9" w:rsidRDefault="00770482">
            <w:pPr>
              <w:pStyle w:val="CellColumn"/>
              <w:jc w:val="left"/>
            </w:pPr>
            <w:r>
              <w:rPr>
                <w:rFonts w:cs="Times New Roman"/>
              </w:rPr>
              <w:t>Broj službenih putovanja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AZOO</w:t>
            </w:r>
          </w:p>
        </w:tc>
        <w:tc>
          <w:tcPr>
            <w:tcW w:w="918" w:type="dxa"/>
          </w:tcPr>
          <w:p w:rsidR="009520A9" w:rsidRDefault="00770482">
            <w:pPr>
              <w:jc w:val="center"/>
            </w:pPr>
            <w:r>
              <w:t>150</w:t>
            </w:r>
          </w:p>
        </w:tc>
        <w:tc>
          <w:tcPr>
            <w:tcW w:w="918" w:type="dxa"/>
          </w:tcPr>
          <w:p w:rsidR="009520A9" w:rsidRDefault="00770482">
            <w:pPr>
              <w:jc w:val="center"/>
            </w:pPr>
            <w:r>
              <w:t>150</w:t>
            </w:r>
          </w:p>
        </w:tc>
        <w:tc>
          <w:tcPr>
            <w:tcW w:w="918" w:type="dxa"/>
          </w:tcPr>
          <w:p w:rsidR="009520A9" w:rsidRDefault="00770482">
            <w:pPr>
              <w:jc w:val="center"/>
            </w:pPr>
            <w:r>
              <w:t>150</w:t>
            </w:r>
          </w:p>
        </w:tc>
      </w:tr>
    </w:tbl>
    <w:p w:rsidR="009520A9" w:rsidRDefault="009520A9">
      <w:pPr>
        <w:jc w:val="left"/>
      </w:pPr>
    </w:p>
    <w:p w:rsidR="009520A9" w:rsidRDefault="00770482">
      <w:pPr>
        <w:pStyle w:val="Heading4"/>
      </w:pPr>
      <w:r>
        <w:t>K767054 OP UČINKOVITI LJUDSKI POTENCIJALI 2014.-2020., PRIORITET 3</w:t>
      </w:r>
    </w:p>
    <w:p w:rsidR="009520A9" w:rsidRDefault="00770482">
      <w:pPr>
        <w:pStyle w:val="Heading8"/>
        <w:jc w:val="left"/>
      </w:pPr>
      <w:r>
        <w:t>Zakonske i druge pravne osnove</w:t>
      </w:r>
    </w:p>
    <w:p w:rsidR="009520A9" w:rsidRDefault="00770482">
      <w:r>
        <w:t>Ugovor s Carnetom o dodijeli sredstava za provedbu E-škola II. faza</w:t>
      </w:r>
    </w:p>
    <w:tbl>
      <w:tblPr>
        <w:tblStyle w:val="StilTablice"/>
        <w:tblW w:w="10206" w:type="dxa"/>
        <w:jc w:val="center"/>
        <w:tblLook w:val="04A0" w:firstRow="1" w:lastRow="0" w:firstColumn="1" w:lastColumn="0" w:noHBand="0" w:noVBand="1"/>
      </w:tblPr>
      <w:tblGrid>
        <w:gridCol w:w="1477"/>
        <w:gridCol w:w="1566"/>
        <w:gridCol w:w="1559"/>
        <w:gridCol w:w="1550"/>
        <w:gridCol w:w="1542"/>
        <w:gridCol w:w="1542"/>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K767054</w:t>
            </w:r>
          </w:p>
        </w:tc>
        <w:tc>
          <w:tcPr>
            <w:tcW w:w="1632" w:type="dxa"/>
            <w:vAlign w:val="top"/>
          </w:tcPr>
          <w:p w:rsidR="009520A9" w:rsidRDefault="00770482">
            <w:pPr>
              <w:jc w:val="right"/>
            </w:pPr>
            <w:r>
              <w:t>140.930</w:t>
            </w:r>
          </w:p>
        </w:tc>
        <w:tc>
          <w:tcPr>
            <w:tcW w:w="1632" w:type="dxa"/>
            <w:vAlign w:val="top"/>
          </w:tcPr>
          <w:p w:rsidR="009520A9" w:rsidRDefault="00770482">
            <w:pPr>
              <w:jc w:val="right"/>
            </w:pPr>
            <w:r>
              <w:t>148.173</w:t>
            </w:r>
          </w:p>
        </w:tc>
        <w:tc>
          <w:tcPr>
            <w:tcW w:w="1632" w:type="dxa"/>
            <w:vAlign w:val="top"/>
          </w:tcPr>
          <w:p w:rsidR="009520A9" w:rsidRDefault="00770482">
            <w:pPr>
              <w:jc w:val="right"/>
            </w:pPr>
            <w:r>
              <w:t>40.000</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510" w:type="dxa"/>
            <w:vAlign w:val="top"/>
          </w:tcPr>
          <w:p w:rsidR="009520A9" w:rsidRDefault="00770482">
            <w:pPr>
              <w:jc w:val="right"/>
            </w:pPr>
            <w:r>
              <w:t>27,0</w:t>
            </w:r>
          </w:p>
        </w:tc>
      </w:tr>
    </w:tbl>
    <w:p w:rsidR="009520A9" w:rsidRDefault="009520A9">
      <w:pPr>
        <w:jc w:val="left"/>
      </w:pPr>
    </w:p>
    <w:p w:rsidR="009520A9" w:rsidRDefault="00770482">
      <w:r>
        <w:t xml:space="preserve">Nastavak projekta e-Škole: Razvoj sustava digitalno zrelih škola (II. faza)  </w:t>
      </w:r>
    </w:p>
    <w:p w:rsidR="009520A9" w:rsidRDefault="00770482">
      <w:r>
        <w:t>Stavka obuhvaća troškove organizacije Edukacija za razvoj digitalnih kompetencija odgojno-obrazovnih radnika škola (stručni skup). Stručne skupove Agencija će provoditi na državn</w:t>
      </w:r>
      <w:r>
        <w:t>oj, regionalnoj i županijskoj razini a uključivati će teme vezane za provedbu specifičnih projektnih aktivnosti i razvoj digitalnih kompetencija korisnika projekta. Detaljnije, stavka uključuje troškove organizacije, osvježenja, cateringa i ostale troškove</w:t>
      </w:r>
      <w:r>
        <w:t xml:space="preserve"> vezane uz organizaciju edukacije. Ukupno 120 skupova će se održavati kontinuirano tijekom provedbe projekta, prema rasporedu Agencije o održavanju skupova.  </w:t>
      </w:r>
    </w:p>
    <w:p w:rsidR="009520A9" w:rsidRDefault="00770482">
      <w:r>
        <w:t>Stavka obuhvaća nabavu računalne opreme za 20 savjetnika Agencije, za provedbu aktivnosti projekt</w:t>
      </w:r>
      <w:r>
        <w:t>a i rada sa školama i nastavnicima. Računala se nabavljaju kao sredstvo za rad na provedbi projektnih aktivnosti.</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106"/>
        <w:gridCol w:w="2070"/>
        <w:gridCol w:w="1259"/>
        <w:gridCol w:w="917"/>
        <w:gridCol w:w="1103"/>
        <w:gridCol w:w="917"/>
        <w:gridCol w:w="917"/>
        <w:gridCol w:w="91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Organizacija edukacija za razvoj digitalnih kompetencija odgojno-obrazovnih radnika škola</w:t>
            </w:r>
          </w:p>
        </w:tc>
        <w:tc>
          <w:tcPr>
            <w:tcW w:w="2245" w:type="dxa"/>
            <w:vAlign w:val="top"/>
          </w:tcPr>
          <w:p w:rsidR="009520A9" w:rsidRDefault="00770482">
            <w:pPr>
              <w:pStyle w:val="CellColumn"/>
              <w:jc w:val="left"/>
            </w:pPr>
            <w:r>
              <w:rPr>
                <w:rFonts w:cs="Times New Roman"/>
              </w:rPr>
              <w:t>Razvoj sustava digitalno zrelih škola</w:t>
            </w:r>
          </w:p>
        </w:tc>
        <w:tc>
          <w:tcPr>
            <w:tcW w:w="918" w:type="dxa"/>
          </w:tcPr>
          <w:p w:rsidR="009520A9" w:rsidRDefault="00770482">
            <w:pPr>
              <w:jc w:val="center"/>
            </w:pPr>
            <w:r>
              <w:t>Broj skupova (kumulativno)</w:t>
            </w:r>
          </w:p>
        </w:tc>
        <w:tc>
          <w:tcPr>
            <w:tcW w:w="918" w:type="dxa"/>
          </w:tcPr>
          <w:p w:rsidR="009520A9" w:rsidRDefault="00770482">
            <w:pPr>
              <w:jc w:val="center"/>
            </w:pPr>
            <w:r>
              <w:t>60</w:t>
            </w:r>
          </w:p>
        </w:tc>
        <w:tc>
          <w:tcPr>
            <w:tcW w:w="918" w:type="dxa"/>
          </w:tcPr>
          <w:p w:rsidR="009520A9" w:rsidRDefault="00770482">
            <w:pPr>
              <w:pStyle w:val="CellColumn"/>
              <w:jc w:val="center"/>
            </w:pPr>
            <w:r>
              <w:rPr>
                <w:rFonts w:cs="Times New Roman"/>
              </w:rPr>
              <w:t>elektronička aplikacija</w:t>
            </w:r>
          </w:p>
        </w:tc>
        <w:tc>
          <w:tcPr>
            <w:tcW w:w="918" w:type="dxa"/>
          </w:tcPr>
          <w:p w:rsidR="009520A9" w:rsidRDefault="00770482">
            <w:pPr>
              <w:jc w:val="center"/>
            </w:pPr>
            <w:r>
              <w:t>30</w:t>
            </w:r>
          </w:p>
        </w:tc>
        <w:tc>
          <w:tcPr>
            <w:tcW w:w="918" w:type="dxa"/>
          </w:tcPr>
          <w:p w:rsidR="009520A9" w:rsidRDefault="00770482">
            <w:pPr>
              <w:jc w:val="center"/>
            </w:pPr>
            <w:r>
              <w:t>0</w:t>
            </w:r>
          </w:p>
        </w:tc>
        <w:tc>
          <w:tcPr>
            <w:tcW w:w="918" w:type="dxa"/>
          </w:tcPr>
          <w:p w:rsidR="009520A9" w:rsidRDefault="00770482">
            <w:pPr>
              <w:jc w:val="center"/>
            </w:pPr>
            <w:r>
              <w:t>0</w:t>
            </w:r>
          </w:p>
        </w:tc>
      </w:tr>
    </w:tbl>
    <w:p w:rsidR="009520A9" w:rsidRDefault="009520A9">
      <w:pPr>
        <w:jc w:val="left"/>
      </w:pPr>
    </w:p>
    <w:p w:rsidR="009520A9" w:rsidRDefault="00770482">
      <w:pPr>
        <w:pStyle w:val="Heading2"/>
      </w:pPr>
      <w:r>
        <w:t>38487 Agencija za znanost i visoko obrazovanje</w:t>
      </w:r>
    </w:p>
    <w:p w:rsidR="009520A9" w:rsidRDefault="00770482">
      <w:r>
        <w:t>Najznačajnije aktivnosti i zadatci Agencije za znanost i visoko obrazovanje su: provođenje  postupka inicijalne akreditacije, provođenje postupka reakreditacije, provođenje postupka tematskog vrednovanja, , pr</w:t>
      </w:r>
      <w:r>
        <w:t>ikupljanje i obrađivanje podataka o sustavu znanosti i visokog obrazovanja u svrhu pružanja relevantnih informacija, statističkih pokazatelja i analiza potrebnih kao polazišta za utvrđivanje standarada, kriterija i donošenje ocjena u svim postupcima vredno</w:t>
      </w:r>
      <w:r>
        <w:t>vanja koje provodi Agencija te relevantnih informacija o stanju i učinkovitosti cjelokupnog sustava znanosti i visokog obrazovanja, pružanje informacija o uvjetima upisa na visoka učilišta u Republici Hrvatskoj i objedinjavanje podataka o ispunjavanju uvje</w:t>
      </w:r>
      <w:r>
        <w:t>ta za upis pristupnika na visoka učilišta na temelju kojih visoka učilišta vrše upise na studijske programe, provođenje postupka priznavanja inozemnih obrazovnih kvalifikacija u svrhu nastavka obrazovanja te vrednovanja inozemnih visokoškolskih kvalifikaci</w:t>
      </w:r>
      <w:r>
        <w:t xml:space="preserve">ja u svrhu pristupa tržištu rada, provedba HKO-a na razini 5. (u dijelu koji se odnosi na visoko obrazovanje) te razinama 6.st; 6.sv; 7.1.st; 7.1.sv; 7.2; 8.1. i 8.2.  </w:t>
      </w:r>
    </w:p>
    <w:p w:rsidR="009520A9" w:rsidRDefault="00770482">
      <w:r>
        <w:t xml:space="preserve">Aktivnostima Agencije potaknut će se razvoj i unaprjeđenje kvalitete visokih učilišta, </w:t>
      </w:r>
      <w:r>
        <w:t>studijskih programa i znanstvenih organizacija u RH, bolje povezivanje obrazovne ponude s potrebama tržišta rada i bolja zapošljivost završenih studenata, bolje povezivanje znanosti i gospodarstva, osnaživanje međunarodne suradnje u sektoru visokog obrazov</w:t>
      </w:r>
      <w:r>
        <w:t>anja i znanosti, što će doprinijeti većoj kvaliteti, prepoznatljivosti i vjerodostojnosti hrvatskog sustava visokog obrazovanja i znanosti te biti pozitivan poticaj za razvoj društva u cjelini. To je u skladu s ciljevima sadržanim u Strategiji AZVO-a 2021.</w:t>
      </w:r>
      <w:r>
        <w:t xml:space="preserve"> – 2025., kao i u Nacionalnoj razvojnoj strategiji Republike Hrvatske do 2030. godine. AZVO će izravno doprinositi ostvarenju drugog strateškog cilja – Obrazovani i zaposleni ljudi.  </w:t>
      </w:r>
    </w:p>
    <w:p w:rsidR="009520A9" w:rsidRDefault="00770482">
      <w:r>
        <w:t>Agencija će u ovom strateškom razdoblju doprinositi i ostvarivanju Nacio</w:t>
      </w:r>
      <w:r>
        <w:t>nalnog plana oporavka i otpornosti 2021. – 2026. ciljevima C 3.1. R2, C 3.2. R1 i R2 te C 3.2. R1-12  (C 3.1. Reforma obrazovnog sustava i C 3.2. Podizanje istraživačkog i inovacijskog kapaciteta). Provedbom navedenih aktivnosti iz djelokruga rada AZVO-a u</w:t>
      </w:r>
      <w:r>
        <w:t xml:space="preserve">z ostvarenje navedenih nacionalnih strateških ciljeva doprinijeti će se ostvarenju 4. cilja Sustainable Developmental Goals – Kvalitetno obrazovanje.  </w:t>
      </w:r>
    </w:p>
    <w:p w:rsidR="009520A9" w:rsidRDefault="00770482">
      <w:r>
        <w:t>U skladu s Nacionalnim programom reformi, u području odgoja i obrazovanja glavni ciljevi su održavanje r</w:t>
      </w:r>
      <w:r>
        <w:t xml:space="preserve">anog napuštanja školovanja na razini do najviše 4 % i daljnje smanjenje te povećanje udjela populacije u dobi 30 – 34 godina sa završenim tercijarnim obrazovanjem na 35 %. Povezano s tim, u narednom će se razdoblju provoditi mjere unaprjeđenja kvalitete i </w:t>
      </w:r>
      <w:r>
        <w:t xml:space="preserve">učinkovitosti sustava odgoja i obrazovanja, povećanja dostupnosti obrazovanja kroz olakšan pristup obrazovanju na svim razinama te poboljšanja usklađenosti sustava odgoja i obrazovanja s potrebama tržišta rada.   </w:t>
      </w:r>
    </w:p>
    <w:p w:rsidR="009520A9" w:rsidRDefault="00770482">
      <w:r>
        <w:t>Zakonom o osiguravanju kvalitete u znanost</w:t>
      </w:r>
      <w:r>
        <w:t xml:space="preserve">i i visokom obrazovanju te pratećim propisima definirani su jasni i objektivni postupci na temelju kojih će se vrednovati i ocjenjivati kvaliteta subjekata vrednovanja (tzv. vanjsko osiguravanje i unaprjeđivanje kvalitete) te obveza i odgovornost istih za </w:t>
      </w:r>
      <w:r>
        <w:t>učinkovitost i ostvarivanje kvalitetnih ishoda obrazovnih i znanstvenih aktivnosti (tzv. unutarnje unaprjeđivanje kvalitete).</w:t>
      </w:r>
    </w:p>
    <w:tbl>
      <w:tblPr>
        <w:tblStyle w:val="StilTablice"/>
        <w:tblW w:w="10206" w:type="dxa"/>
        <w:jc w:val="center"/>
        <w:tblLook w:val="04A0" w:firstRow="1" w:lastRow="0" w:firstColumn="1" w:lastColumn="0" w:noHBand="0" w:noVBand="1"/>
      </w:tblPr>
      <w:tblGrid>
        <w:gridCol w:w="1437"/>
        <w:gridCol w:w="1559"/>
        <w:gridCol w:w="1560"/>
        <w:gridCol w:w="1560"/>
        <w:gridCol w:w="1560"/>
        <w:gridCol w:w="1560"/>
        <w:gridCol w:w="970"/>
      </w:tblGrid>
      <w:tr w:rsidR="009520A9">
        <w:trPr>
          <w:jc w:val="center"/>
        </w:trPr>
        <w:tc>
          <w:tcPr>
            <w:tcW w:w="1530" w:type="dxa"/>
            <w:shd w:val="clear" w:color="auto" w:fill="B5C0D8"/>
          </w:tcPr>
          <w:p w:rsidR="009520A9" w:rsidRDefault="009520A9">
            <w:pPr>
              <w:pStyle w:val="CellHeader"/>
              <w:jc w:val="center"/>
            </w:pP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tcPr>
          <w:p w:rsidR="009520A9" w:rsidRDefault="00770482">
            <w:pPr>
              <w:pStyle w:val="CellColumn"/>
              <w:jc w:val="left"/>
            </w:pPr>
            <w:r>
              <w:rPr>
                <w:rFonts w:cs="Times New Roman"/>
              </w:rPr>
              <w:t>38487</w:t>
            </w:r>
          </w:p>
        </w:tc>
        <w:tc>
          <w:tcPr>
            <w:tcW w:w="1632" w:type="dxa"/>
          </w:tcPr>
          <w:p w:rsidR="009520A9" w:rsidRDefault="00770482">
            <w:pPr>
              <w:jc w:val="right"/>
            </w:pPr>
            <w:r>
              <w:t>2.697.825</w:t>
            </w:r>
          </w:p>
        </w:tc>
        <w:tc>
          <w:tcPr>
            <w:tcW w:w="1632" w:type="dxa"/>
          </w:tcPr>
          <w:p w:rsidR="009520A9" w:rsidRDefault="00770482">
            <w:pPr>
              <w:jc w:val="right"/>
            </w:pPr>
            <w:r>
              <w:t>4.357.897</w:t>
            </w:r>
          </w:p>
        </w:tc>
        <w:tc>
          <w:tcPr>
            <w:tcW w:w="1632" w:type="dxa"/>
          </w:tcPr>
          <w:p w:rsidR="009520A9" w:rsidRDefault="00770482">
            <w:pPr>
              <w:jc w:val="right"/>
            </w:pPr>
            <w:r>
              <w:t>4.897.206</w:t>
            </w:r>
          </w:p>
        </w:tc>
        <w:tc>
          <w:tcPr>
            <w:tcW w:w="1632" w:type="dxa"/>
          </w:tcPr>
          <w:p w:rsidR="009520A9" w:rsidRDefault="00770482">
            <w:pPr>
              <w:jc w:val="right"/>
            </w:pPr>
            <w:r>
              <w:t>5.262.798</w:t>
            </w:r>
          </w:p>
        </w:tc>
        <w:tc>
          <w:tcPr>
            <w:tcW w:w="1632" w:type="dxa"/>
          </w:tcPr>
          <w:p w:rsidR="009520A9" w:rsidRDefault="00770482">
            <w:pPr>
              <w:jc w:val="right"/>
            </w:pPr>
            <w:r>
              <w:t>5.077.993</w:t>
            </w:r>
          </w:p>
        </w:tc>
        <w:tc>
          <w:tcPr>
            <w:tcW w:w="510" w:type="dxa"/>
          </w:tcPr>
          <w:p w:rsidR="009520A9" w:rsidRDefault="00770482">
            <w:pPr>
              <w:jc w:val="right"/>
            </w:pPr>
            <w:r>
              <w:t>112,4</w:t>
            </w:r>
          </w:p>
        </w:tc>
      </w:tr>
    </w:tbl>
    <w:p w:rsidR="009520A9" w:rsidRDefault="009520A9">
      <w:pPr>
        <w:jc w:val="left"/>
      </w:pPr>
    </w:p>
    <w:p w:rsidR="009520A9" w:rsidRDefault="00770482">
      <w:pPr>
        <w:pStyle w:val="Heading3"/>
      </w:pPr>
      <w:r>
        <w:rPr>
          <w:rFonts w:cs="Times New Roman"/>
        </w:rPr>
        <w:t>3705 VISOKO OBRAZOVANJE</w:t>
      </w:r>
    </w:p>
    <w:tbl>
      <w:tblPr>
        <w:tblStyle w:val="StilTablice"/>
        <w:tblW w:w="10206" w:type="dxa"/>
        <w:jc w:val="center"/>
        <w:tblLook w:val="04A0" w:firstRow="1" w:lastRow="0" w:firstColumn="1" w:lastColumn="0" w:noHBand="0" w:noVBand="1"/>
      </w:tblPr>
      <w:tblGrid>
        <w:gridCol w:w="1431"/>
        <w:gridCol w:w="1561"/>
        <w:gridCol w:w="1561"/>
        <w:gridCol w:w="1561"/>
        <w:gridCol w:w="1561"/>
        <w:gridCol w:w="1561"/>
        <w:gridCol w:w="970"/>
      </w:tblGrid>
      <w:tr w:rsidR="009520A9">
        <w:trPr>
          <w:jc w:val="center"/>
        </w:trPr>
        <w:tc>
          <w:tcPr>
            <w:tcW w:w="1530" w:type="dxa"/>
            <w:shd w:val="clear" w:color="auto" w:fill="B5C0D8"/>
          </w:tcPr>
          <w:p w:rsidR="009520A9" w:rsidRDefault="009520A9">
            <w:pPr>
              <w:pStyle w:val="CellHeader"/>
            </w:pPr>
          </w:p>
        </w:tc>
        <w:tc>
          <w:tcPr>
            <w:tcW w:w="1632" w:type="dxa"/>
            <w:shd w:val="clear" w:color="auto" w:fill="B5C0D8"/>
          </w:tcPr>
          <w:p w:rsidR="009520A9" w:rsidRDefault="00770482">
            <w:pPr>
              <w:pStyle w:val="CellHeader"/>
            </w:pPr>
            <w:r>
              <w:rPr>
                <w:rFonts w:cs="Times New Roman"/>
              </w:rPr>
              <w:t>Izvršenje 2022.</w:t>
            </w:r>
          </w:p>
        </w:tc>
        <w:tc>
          <w:tcPr>
            <w:tcW w:w="1632" w:type="dxa"/>
            <w:shd w:val="clear" w:color="auto" w:fill="B5C0D8"/>
          </w:tcPr>
          <w:p w:rsidR="009520A9" w:rsidRDefault="00770482">
            <w:pPr>
              <w:pStyle w:val="CellHeader"/>
            </w:pPr>
            <w:r>
              <w:rPr>
                <w:rFonts w:cs="Times New Roman"/>
              </w:rPr>
              <w:t>Plan 2023.</w:t>
            </w:r>
          </w:p>
        </w:tc>
        <w:tc>
          <w:tcPr>
            <w:tcW w:w="1632" w:type="dxa"/>
            <w:shd w:val="clear" w:color="auto" w:fill="B5C0D8"/>
          </w:tcPr>
          <w:p w:rsidR="009520A9" w:rsidRDefault="00770482">
            <w:pPr>
              <w:pStyle w:val="CellHeader"/>
            </w:pPr>
            <w:r>
              <w:rPr>
                <w:rFonts w:cs="Times New Roman"/>
              </w:rPr>
              <w:t>Plan 2024.</w:t>
            </w:r>
          </w:p>
        </w:tc>
        <w:tc>
          <w:tcPr>
            <w:tcW w:w="1632" w:type="dxa"/>
            <w:shd w:val="clear" w:color="auto" w:fill="B5C0D8"/>
          </w:tcPr>
          <w:p w:rsidR="009520A9" w:rsidRDefault="00770482">
            <w:pPr>
              <w:pStyle w:val="CellHeader"/>
            </w:pPr>
            <w:r>
              <w:rPr>
                <w:rFonts w:cs="Times New Roman"/>
              </w:rPr>
              <w:t>Plan 2025.</w:t>
            </w:r>
          </w:p>
        </w:tc>
        <w:tc>
          <w:tcPr>
            <w:tcW w:w="1632" w:type="dxa"/>
            <w:shd w:val="clear" w:color="auto" w:fill="B5C0D8"/>
          </w:tcPr>
          <w:p w:rsidR="009520A9" w:rsidRDefault="00770482">
            <w:pPr>
              <w:pStyle w:val="CellHead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3705</w:t>
            </w:r>
          </w:p>
        </w:tc>
        <w:tc>
          <w:tcPr>
            <w:tcW w:w="1632" w:type="dxa"/>
            <w:vAlign w:val="top"/>
          </w:tcPr>
          <w:p w:rsidR="009520A9" w:rsidRDefault="00770482">
            <w:pPr>
              <w:jc w:val="right"/>
            </w:pPr>
            <w:r>
              <w:t>2.533.290</w:t>
            </w:r>
          </w:p>
        </w:tc>
        <w:tc>
          <w:tcPr>
            <w:tcW w:w="1632" w:type="dxa"/>
            <w:vAlign w:val="top"/>
          </w:tcPr>
          <w:p w:rsidR="009520A9" w:rsidRDefault="00770482">
            <w:pPr>
              <w:jc w:val="right"/>
            </w:pPr>
            <w:r>
              <w:t>4.357.897</w:t>
            </w:r>
          </w:p>
        </w:tc>
        <w:tc>
          <w:tcPr>
            <w:tcW w:w="1632" w:type="dxa"/>
            <w:vAlign w:val="top"/>
          </w:tcPr>
          <w:p w:rsidR="009520A9" w:rsidRDefault="00770482">
            <w:pPr>
              <w:jc w:val="right"/>
            </w:pPr>
            <w:r>
              <w:t>4.897.206</w:t>
            </w:r>
          </w:p>
        </w:tc>
        <w:tc>
          <w:tcPr>
            <w:tcW w:w="1632" w:type="dxa"/>
            <w:vAlign w:val="top"/>
          </w:tcPr>
          <w:p w:rsidR="009520A9" w:rsidRDefault="00770482">
            <w:pPr>
              <w:jc w:val="right"/>
            </w:pPr>
            <w:r>
              <w:t>5.262.798</w:t>
            </w:r>
          </w:p>
        </w:tc>
        <w:tc>
          <w:tcPr>
            <w:tcW w:w="1632" w:type="dxa"/>
            <w:vAlign w:val="top"/>
          </w:tcPr>
          <w:p w:rsidR="009520A9" w:rsidRDefault="00770482">
            <w:pPr>
              <w:jc w:val="right"/>
            </w:pPr>
            <w:r>
              <w:t>5.077.993</w:t>
            </w:r>
          </w:p>
        </w:tc>
        <w:tc>
          <w:tcPr>
            <w:tcW w:w="510" w:type="dxa"/>
            <w:vAlign w:val="top"/>
          </w:tcPr>
          <w:p w:rsidR="009520A9" w:rsidRDefault="00770482">
            <w:pPr>
              <w:jc w:val="right"/>
            </w:pPr>
            <w:r>
              <w:t>112,4</w:t>
            </w:r>
          </w:p>
        </w:tc>
      </w:tr>
    </w:tbl>
    <w:p w:rsidR="009520A9" w:rsidRDefault="009520A9">
      <w:pPr>
        <w:jc w:val="left"/>
      </w:pPr>
    </w:p>
    <w:p w:rsidR="009520A9" w:rsidRDefault="00770482">
      <w:pPr>
        <w:pStyle w:val="Heading8"/>
        <w:jc w:val="left"/>
      </w:pPr>
      <w:r>
        <w:t>Cilj 1. Unaprjeđenje kvalitete, relevantnosti, učinkovitosti i dostupnosti visokog obrazovanja</w:t>
      </w:r>
    </w:p>
    <w:p w:rsidR="009520A9" w:rsidRDefault="0077048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učinka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w:t>
            </w:r>
            <w:r>
              <w:rPr>
                <w:rFonts w:cs="Times New Roman"/>
              </w:rPr>
              <w:t>st (2026.)</w:t>
            </w:r>
          </w:p>
        </w:tc>
      </w:tr>
      <w:tr w:rsidR="009520A9">
        <w:trPr>
          <w:jc w:val="center"/>
        </w:trPr>
        <w:tc>
          <w:tcPr>
            <w:tcW w:w="2245" w:type="dxa"/>
            <w:vAlign w:val="top"/>
          </w:tcPr>
          <w:p w:rsidR="009520A9" w:rsidRDefault="00770482">
            <w:pPr>
              <w:pStyle w:val="CellColumn"/>
              <w:jc w:val="left"/>
            </w:pPr>
            <w:r>
              <w:rPr>
                <w:rFonts w:cs="Times New Roman"/>
              </w:rPr>
              <w:t>Broj provedenih vanjskih vrednovanja u trećem ciklusu u skladu s ESG-jima i nacionalnim standardima kvalitete</w:t>
            </w:r>
          </w:p>
        </w:tc>
        <w:tc>
          <w:tcPr>
            <w:tcW w:w="2245" w:type="dxa"/>
            <w:vAlign w:val="top"/>
          </w:tcPr>
          <w:p w:rsidR="009520A9" w:rsidRDefault="00770482">
            <w:pPr>
              <w:pStyle w:val="CellColumn"/>
              <w:jc w:val="left"/>
            </w:pPr>
            <w:r>
              <w:rPr>
                <w:rFonts w:cs="Times New Roman"/>
              </w:rPr>
              <w:t>Visoka učilišta i studijski programi koji su usklađeni s ESG-ima i nacionalnim standardima kvalitete</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Godišnja izvješća AZVO-a</w:t>
            </w:r>
          </w:p>
        </w:tc>
        <w:tc>
          <w:tcPr>
            <w:tcW w:w="918" w:type="dxa"/>
          </w:tcPr>
          <w:p w:rsidR="009520A9" w:rsidRDefault="00770482">
            <w:pPr>
              <w:jc w:val="center"/>
            </w:pPr>
            <w:r>
              <w:t>69</w:t>
            </w:r>
          </w:p>
        </w:tc>
        <w:tc>
          <w:tcPr>
            <w:tcW w:w="918" w:type="dxa"/>
          </w:tcPr>
          <w:p w:rsidR="009520A9" w:rsidRDefault="00770482">
            <w:pPr>
              <w:jc w:val="center"/>
            </w:pPr>
            <w:r>
              <w:t>142</w:t>
            </w:r>
          </w:p>
        </w:tc>
        <w:tc>
          <w:tcPr>
            <w:tcW w:w="918" w:type="dxa"/>
          </w:tcPr>
          <w:p w:rsidR="009520A9" w:rsidRDefault="00770482">
            <w:pPr>
              <w:jc w:val="center"/>
            </w:pPr>
            <w:r>
              <w:t>142</w:t>
            </w:r>
          </w:p>
        </w:tc>
      </w:tr>
    </w:tbl>
    <w:p w:rsidR="009520A9" w:rsidRDefault="009520A9">
      <w:pPr>
        <w:jc w:val="left"/>
      </w:pPr>
    </w:p>
    <w:p w:rsidR="009520A9" w:rsidRDefault="00770482">
      <w:pPr>
        <w:pStyle w:val="Heading4"/>
      </w:pPr>
      <w:r>
        <w:t>A621155 ADMINISTRACIJA I UPRAVLJANJE AGENCIJE ZA ZNANOST I VISOKO OBRAZOVANJE</w:t>
      </w:r>
    </w:p>
    <w:p w:rsidR="009520A9" w:rsidRDefault="00770482">
      <w:pPr>
        <w:pStyle w:val="Heading8"/>
        <w:jc w:val="left"/>
      </w:pPr>
      <w:r>
        <w:t>Zakonske i druge pravne osnove</w:t>
      </w:r>
    </w:p>
    <w:p w:rsidR="009520A9" w:rsidRDefault="00770482">
      <w:r>
        <w:t>Zakon o plaćama u javnim službama, Zakon o osnovici plaće u javnim službama, Temeljni kolektivni ugovor za službenike i namještenike u javnim službama, Uredba o nazivima radnih mjesta i koeficijentima složenosti poslova u javnim službama, Zakon o osigurava</w:t>
      </w:r>
      <w:r>
        <w:t>nju kvalitete u znanosti i visokom obrazovanju, Zakon o visokom obrazovanju i  znanstvenoj djelatnosti, Zakon o priznavanju i vrednovanju inozemnih obrazovnih kvalifikacija, Zakon o proračunu, Zakon o izvršavanju Državnog proračuna Republike Hrvatske za 20</w:t>
      </w:r>
      <w:r>
        <w:t>23. Godinu, Zakon o fiskalnoj odgovornosti, Zakon o porezu na dohodak</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A621155</w:t>
            </w:r>
          </w:p>
        </w:tc>
        <w:tc>
          <w:tcPr>
            <w:tcW w:w="1632" w:type="dxa"/>
            <w:vAlign w:val="top"/>
          </w:tcPr>
          <w:p w:rsidR="009520A9" w:rsidRDefault="00770482">
            <w:pPr>
              <w:jc w:val="right"/>
            </w:pPr>
            <w:r>
              <w:t>1.956.483</w:t>
            </w:r>
          </w:p>
        </w:tc>
        <w:tc>
          <w:tcPr>
            <w:tcW w:w="1632" w:type="dxa"/>
            <w:vAlign w:val="top"/>
          </w:tcPr>
          <w:p w:rsidR="009520A9" w:rsidRDefault="00770482">
            <w:pPr>
              <w:jc w:val="right"/>
            </w:pPr>
            <w:r>
              <w:t>2.453.131</w:t>
            </w:r>
          </w:p>
        </w:tc>
        <w:tc>
          <w:tcPr>
            <w:tcW w:w="1632" w:type="dxa"/>
            <w:vAlign w:val="top"/>
          </w:tcPr>
          <w:p w:rsidR="009520A9" w:rsidRDefault="00770482">
            <w:pPr>
              <w:jc w:val="right"/>
            </w:pPr>
            <w:r>
              <w:t>2.720.066</w:t>
            </w:r>
          </w:p>
        </w:tc>
        <w:tc>
          <w:tcPr>
            <w:tcW w:w="1632" w:type="dxa"/>
            <w:vAlign w:val="top"/>
          </w:tcPr>
          <w:p w:rsidR="009520A9" w:rsidRDefault="00770482">
            <w:pPr>
              <w:jc w:val="right"/>
            </w:pPr>
            <w:r>
              <w:t>2.718.016</w:t>
            </w:r>
          </w:p>
        </w:tc>
        <w:tc>
          <w:tcPr>
            <w:tcW w:w="1632" w:type="dxa"/>
            <w:vAlign w:val="top"/>
          </w:tcPr>
          <w:p w:rsidR="009520A9" w:rsidRDefault="00770482">
            <w:pPr>
              <w:jc w:val="right"/>
            </w:pPr>
            <w:r>
              <w:t>2.722.204</w:t>
            </w:r>
          </w:p>
        </w:tc>
        <w:tc>
          <w:tcPr>
            <w:tcW w:w="510" w:type="dxa"/>
            <w:vAlign w:val="top"/>
          </w:tcPr>
          <w:p w:rsidR="009520A9" w:rsidRDefault="00770482">
            <w:pPr>
              <w:jc w:val="right"/>
            </w:pPr>
            <w:r>
              <w:t>110,9</w:t>
            </w:r>
          </w:p>
        </w:tc>
      </w:tr>
    </w:tbl>
    <w:p w:rsidR="009520A9" w:rsidRDefault="009520A9">
      <w:pPr>
        <w:jc w:val="left"/>
      </w:pPr>
    </w:p>
    <w:p w:rsidR="009520A9" w:rsidRDefault="00770482">
      <w:r>
        <w:t>Sredstva na aktivnosti namijenjena su za pokriće plaća za redovan rad i doprinosa  za 73 zaposlenika te materijalne troškove Agencije koji se odnose na zakupnine poslovnog prostora 145.000 eura, intelektualne usluge 82.000 eura, službena putovanja zaposlen</w:t>
      </w:r>
      <w:r>
        <w:t>ika 38.200 eura, naknade za prijevoz na posao i s posla 36.160 eura , stručno usavršavanje zaposlenika 19.350 eura, uredski materijal 23.300 eura, usluge telefona i pošte te prijevoza 34.600 eura, naknade za rad Upravnog vijeća 14.600 eura i članarine 22.5</w:t>
      </w:r>
      <w:r>
        <w:t xml:space="preserve">70 eura.  </w:t>
      </w:r>
    </w:p>
    <w:p w:rsidR="009520A9" w:rsidRDefault="00770482">
      <w:r>
        <w:t>Planirana sredstva na aktivnosti izvora 31 – vlastiti prihodi služe za pokriće troškova akreditacija visokih učilišta i studijskih programa zemalja unutar Europskog prostora visokog obrazovanja (EHEA), posebice iz zemalja jugoistočne i istočne E</w:t>
      </w:r>
      <w:r>
        <w:t xml:space="preserve">urope te ostalih zemalja sukladno iskazanom interesu, kao i za edukaciju njihovih akreditacijskih tijela, budući da je rad AZVO-a prepoznat i istican kao primjer dobre međunarodne prakse.   </w:t>
      </w:r>
    </w:p>
    <w:p w:rsidR="009520A9" w:rsidRDefault="00770482">
      <w:r>
        <w:t>Planirana sredstva na aktivnosti izvora 43 – ostali prihodi za po</w:t>
      </w:r>
      <w:r>
        <w:t>sebne namjene služe za pokriće materijalnih troškova postupaka  vrednovanja inozemnih visokoškolskih kvalifikacija u svrhu pristupa tržištu rada u profesijama koje nisu uključene u Popis reguliranih profesija u RH te priznavanja inozemnih obrazovnih kvalif</w:t>
      </w:r>
      <w:r>
        <w:t xml:space="preserve">ikacija radi nastavka obrazovanja. Naknade za troškove vrednovanja koje provodi Nacionalni ENIC/NARIC (Pravilnik o visini naknade i oslobođenja od plaćanja naknade za troškove postupka priznavanja inozemnih visokoškolskih kvalifikacija i razdoblja studija </w:t>
      </w:r>
      <w:r>
        <w:t>– NN 60/2005) uplaćuju fizičke osobe iz Republike Hrvatske i inozemstva.</w:t>
      </w:r>
    </w:p>
    <w:p w:rsidR="009520A9" w:rsidRDefault="00770482">
      <w:pPr>
        <w:pStyle w:val="Heading4"/>
      </w:pPr>
      <w:r>
        <w:t>A621182 ZBOR VELEUČILIŠTA</w:t>
      </w:r>
    </w:p>
    <w:p w:rsidR="009520A9" w:rsidRDefault="00770482">
      <w:pPr>
        <w:pStyle w:val="Heading8"/>
        <w:jc w:val="left"/>
      </w:pPr>
      <w:r>
        <w:t>Zakonske i druge pravne osnove</w:t>
      </w:r>
    </w:p>
    <w:p w:rsidR="009520A9" w:rsidRDefault="00770482">
      <w:r>
        <w:t>Članci 91. i 94. Zakona o visokom obrazovanju i znanstvenoj djelatnosti („Narodne novine“, broj 119/2022),  Odluka ZV-a, Poslo</w:t>
      </w:r>
      <w:r>
        <w:t>vnik o radu ZV-a.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A621182</w:t>
            </w:r>
          </w:p>
        </w:tc>
        <w:tc>
          <w:tcPr>
            <w:tcW w:w="1632" w:type="dxa"/>
            <w:vAlign w:val="top"/>
          </w:tcPr>
          <w:p w:rsidR="009520A9" w:rsidRDefault="00770482">
            <w:pPr>
              <w:jc w:val="right"/>
            </w:pPr>
            <w:r>
              <w:t>46.982</w:t>
            </w:r>
          </w:p>
        </w:tc>
        <w:tc>
          <w:tcPr>
            <w:tcW w:w="1632" w:type="dxa"/>
            <w:vAlign w:val="top"/>
          </w:tcPr>
          <w:p w:rsidR="009520A9" w:rsidRDefault="00770482">
            <w:pPr>
              <w:jc w:val="right"/>
            </w:pPr>
            <w:r>
              <w:t>47.562</w:t>
            </w:r>
          </w:p>
        </w:tc>
        <w:tc>
          <w:tcPr>
            <w:tcW w:w="1632" w:type="dxa"/>
            <w:vAlign w:val="top"/>
          </w:tcPr>
          <w:p w:rsidR="009520A9" w:rsidRDefault="00770482">
            <w:pPr>
              <w:jc w:val="right"/>
            </w:pPr>
            <w:r>
              <w:t>55.014</w:t>
            </w:r>
          </w:p>
        </w:tc>
        <w:tc>
          <w:tcPr>
            <w:tcW w:w="1632" w:type="dxa"/>
            <w:vAlign w:val="top"/>
          </w:tcPr>
          <w:p w:rsidR="009520A9" w:rsidRDefault="00770482">
            <w:pPr>
              <w:jc w:val="right"/>
            </w:pPr>
            <w:r>
              <w:t>55.014</w:t>
            </w:r>
          </w:p>
        </w:tc>
        <w:tc>
          <w:tcPr>
            <w:tcW w:w="1632" w:type="dxa"/>
            <w:vAlign w:val="top"/>
          </w:tcPr>
          <w:p w:rsidR="009520A9" w:rsidRDefault="00770482">
            <w:pPr>
              <w:jc w:val="right"/>
            </w:pPr>
            <w:r>
              <w:t>55.014</w:t>
            </w:r>
          </w:p>
        </w:tc>
        <w:tc>
          <w:tcPr>
            <w:tcW w:w="510" w:type="dxa"/>
            <w:vAlign w:val="top"/>
          </w:tcPr>
          <w:p w:rsidR="009520A9" w:rsidRDefault="00770482">
            <w:pPr>
              <w:jc w:val="right"/>
            </w:pPr>
            <w:r>
              <w:t>115,7</w:t>
            </w:r>
          </w:p>
        </w:tc>
      </w:tr>
    </w:tbl>
    <w:p w:rsidR="009520A9" w:rsidRDefault="009520A9">
      <w:pPr>
        <w:jc w:val="left"/>
      </w:pPr>
    </w:p>
    <w:p w:rsidR="009520A9" w:rsidRDefault="00770482">
      <w:r>
        <w:t>Sredstva na aktivnosti A621182 namijenjena su za pokriće troškova povezanih s radom Zbora veleučilišta Republike Hrvatske. Zbor danas broji trideset i dva člana, a predsjednik je dekan Veleučilišta Edward Bernays, izv. prof. dr. sc. Damir Jugo, prof. struč</w:t>
      </w:r>
      <w:r>
        <w:t xml:space="preserve">. stud. Članovi Zbora su dekani svih veleučilišta u Republici Hrvatskoj. Planirani troškovi odnose se na naknade za rad članova Zbora veleučilišta, kao i matičnih povjerenstava u iznosu od 18.590 eura, naknade troškova osobama izvan radnog odnosa u iznosu </w:t>
      </w:r>
      <w:r>
        <w:t>od 2.654 eura i članarine u iznosu od 4.700 eura. Predsjednik Zbora veleučilišta kao i druge osobe koje predsjednik ovlasti, sudjeluju na sastancima Rektorskog zbora, sastancima povjerenstava MZO-a, sastancima i skupovima EURASHE-a (međunarodne organizacij</w:t>
      </w:r>
      <w:r>
        <w:t>e koja se bavi jačanjem položaja stručnih studija) i drugih međunarodnih organizacija. Zbor prema potrebi financira određene djelatnosti Vijeća studenata veleučilišta, koordinativnog tijela studentskih predstavnika veleučilišta osnovanog odlukom Zbora vele</w:t>
      </w:r>
      <w:r>
        <w:t xml:space="preserve">učilišta. Zbor povremeno organizira određene skupove za dionike iz sustava.   </w:t>
      </w:r>
    </w:p>
    <w:p w:rsidR="009520A9" w:rsidRDefault="00770482">
      <w:r>
        <w:t>Agencija obavlja poslove oko pripremanja i sazivanja sjednica Zbora veleučilišta te matičnih povjerenstava, kao i administrativno-tehničke poslove za potrebe Zbora i matičnih po</w:t>
      </w:r>
      <w:r>
        <w:t>vjerenstava.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održanih sjednica</w:t>
            </w:r>
          </w:p>
        </w:tc>
        <w:tc>
          <w:tcPr>
            <w:tcW w:w="2245" w:type="dxa"/>
            <w:vAlign w:val="top"/>
          </w:tcPr>
          <w:p w:rsidR="009520A9" w:rsidRDefault="00770482">
            <w:pPr>
              <w:pStyle w:val="CellColumn"/>
              <w:jc w:val="left"/>
            </w:pPr>
            <w:r>
              <w:rPr>
                <w:rFonts w:cs="Times New Roman"/>
              </w:rPr>
              <w:t>Sjednice ZV-a i njegovih tijela održavaju se s ciljem rješavanja različitih pitanja iz područja stručnoga visokog obrazovanja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84</w:t>
            </w:r>
          </w:p>
        </w:tc>
        <w:tc>
          <w:tcPr>
            <w:tcW w:w="918" w:type="dxa"/>
          </w:tcPr>
          <w:p w:rsidR="009520A9" w:rsidRDefault="00770482">
            <w:pPr>
              <w:jc w:val="center"/>
            </w:pPr>
            <w:r>
              <w:t>84</w:t>
            </w:r>
          </w:p>
        </w:tc>
        <w:tc>
          <w:tcPr>
            <w:tcW w:w="918" w:type="dxa"/>
          </w:tcPr>
          <w:p w:rsidR="009520A9" w:rsidRDefault="00770482">
            <w:pPr>
              <w:jc w:val="center"/>
            </w:pPr>
            <w:r>
              <w:t>84</w:t>
            </w:r>
          </w:p>
        </w:tc>
      </w:tr>
    </w:tbl>
    <w:p w:rsidR="009520A9" w:rsidRDefault="009520A9">
      <w:pPr>
        <w:jc w:val="left"/>
      </w:pPr>
    </w:p>
    <w:p w:rsidR="009520A9" w:rsidRDefault="00770482">
      <w:pPr>
        <w:pStyle w:val="Heading4"/>
      </w:pPr>
      <w:r>
        <w:t>A621186 VREDNOVANJE ZNANSTVENIH ORGANIZACIJA</w:t>
      </w:r>
    </w:p>
    <w:p w:rsidR="009520A9" w:rsidRDefault="00770482">
      <w:pPr>
        <w:pStyle w:val="Heading8"/>
        <w:jc w:val="left"/>
      </w:pPr>
      <w:r>
        <w:t>Zakonske i druge pravne osnove</w:t>
      </w:r>
    </w:p>
    <w:p w:rsidR="009520A9" w:rsidRDefault="00770482">
      <w:r>
        <w:t>Postupci vrednovanja u znanosti provode se na temelju Zakona o osiguravanju kvalitete u visokom obrazovanju i znanosti („Narodne novine“, br. 151/22). Riječ je o postupcima: inicijalna akreditacija doktorskog studija, inicijalna akreditacija znanstvenog in</w:t>
      </w:r>
      <w:r>
        <w:t>stituta, reakreditacija znanstvenog instituta i vrednovanje provedbe programskih ugovora.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A621186</w:t>
            </w:r>
          </w:p>
        </w:tc>
        <w:tc>
          <w:tcPr>
            <w:tcW w:w="1632" w:type="dxa"/>
            <w:vAlign w:val="top"/>
          </w:tcPr>
          <w:p w:rsidR="009520A9" w:rsidRDefault="00770482">
            <w:pPr>
              <w:jc w:val="right"/>
            </w:pPr>
            <w:r>
              <w:t>37.329</w:t>
            </w:r>
          </w:p>
        </w:tc>
        <w:tc>
          <w:tcPr>
            <w:tcW w:w="1632" w:type="dxa"/>
            <w:vAlign w:val="top"/>
          </w:tcPr>
          <w:p w:rsidR="009520A9" w:rsidRDefault="00770482">
            <w:pPr>
              <w:jc w:val="right"/>
            </w:pPr>
            <w:r>
              <w:t>228.565</w:t>
            </w:r>
          </w:p>
        </w:tc>
        <w:tc>
          <w:tcPr>
            <w:tcW w:w="1632" w:type="dxa"/>
            <w:vAlign w:val="top"/>
          </w:tcPr>
          <w:p w:rsidR="009520A9" w:rsidRDefault="00770482">
            <w:pPr>
              <w:jc w:val="right"/>
            </w:pPr>
            <w:r>
              <w:t>171.217</w:t>
            </w:r>
          </w:p>
        </w:tc>
        <w:tc>
          <w:tcPr>
            <w:tcW w:w="1632" w:type="dxa"/>
            <w:vAlign w:val="top"/>
          </w:tcPr>
          <w:p w:rsidR="009520A9" w:rsidRDefault="00770482">
            <w:pPr>
              <w:jc w:val="right"/>
            </w:pPr>
            <w:r>
              <w:t>254.638</w:t>
            </w:r>
          </w:p>
        </w:tc>
        <w:tc>
          <w:tcPr>
            <w:tcW w:w="1632" w:type="dxa"/>
            <w:vAlign w:val="top"/>
          </w:tcPr>
          <w:p w:rsidR="009520A9" w:rsidRDefault="00770482">
            <w:pPr>
              <w:jc w:val="right"/>
            </w:pPr>
            <w:r>
              <w:t>254.638</w:t>
            </w:r>
          </w:p>
        </w:tc>
        <w:tc>
          <w:tcPr>
            <w:tcW w:w="510" w:type="dxa"/>
            <w:vAlign w:val="top"/>
          </w:tcPr>
          <w:p w:rsidR="009520A9" w:rsidRDefault="00770482">
            <w:pPr>
              <w:jc w:val="right"/>
            </w:pPr>
            <w:r>
              <w:t>74,9</w:t>
            </w:r>
          </w:p>
        </w:tc>
      </w:tr>
    </w:tbl>
    <w:p w:rsidR="009520A9" w:rsidRDefault="009520A9">
      <w:pPr>
        <w:jc w:val="left"/>
      </w:pPr>
    </w:p>
    <w:p w:rsidR="009520A9" w:rsidRDefault="00770482">
      <w:r>
        <w:t xml:space="preserve">U 2024. godini planirana je provedba 7 inicijalnih akreditacija doktorskih studija, 3 inicijalne akreditacije znanstvenih instituta, 3 reakreditacije znanstvenih instituta te 5 postupka vrednovanja provedbe programskih ugovora.  </w:t>
      </w:r>
    </w:p>
    <w:p w:rsidR="009520A9" w:rsidRDefault="00770482">
      <w:r>
        <w:t>U 2025. godini planirana j</w:t>
      </w:r>
      <w:r>
        <w:t>e provedba 7 inicijalnih akreditacija doktorskih studija, 3 inicijalne akreditacije znanstvenih instituta i 11 reakreditacija znanstvenih instituta. U 2026. godini planirana je provedba 7 inicijalnih akreditacija doktorskih studija, 3 inicijalne akreditaci</w:t>
      </w:r>
      <w:r>
        <w:t>je znanstvenih instituta i 11 reakreditacija znanstvenih instituta.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provedenih inicijalnih akreditacija doktorskih studija</w:t>
            </w:r>
          </w:p>
        </w:tc>
        <w:tc>
          <w:tcPr>
            <w:tcW w:w="2245" w:type="dxa"/>
            <w:vAlign w:val="top"/>
          </w:tcPr>
          <w:p w:rsidR="009520A9" w:rsidRDefault="00770482">
            <w:pPr>
              <w:pStyle w:val="CellColumn"/>
              <w:jc w:val="left"/>
            </w:pPr>
            <w:r>
              <w:rPr>
                <w:rFonts w:cs="Times New Roman"/>
              </w:rPr>
              <w:t>Inicijalna akreditacija doktorskog studija provodi se u skladu sa Zakonom (151/22) u cilju osiguravanja i unaprjeđivanja kvalitete doktorskih studija.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7</w:t>
            </w:r>
          </w:p>
        </w:tc>
        <w:tc>
          <w:tcPr>
            <w:tcW w:w="918" w:type="dxa"/>
          </w:tcPr>
          <w:p w:rsidR="009520A9" w:rsidRDefault="00770482">
            <w:pPr>
              <w:jc w:val="center"/>
            </w:pPr>
            <w:r>
              <w:t>7</w:t>
            </w:r>
          </w:p>
        </w:tc>
        <w:tc>
          <w:tcPr>
            <w:tcW w:w="918" w:type="dxa"/>
          </w:tcPr>
          <w:p w:rsidR="009520A9" w:rsidRDefault="00770482">
            <w:pPr>
              <w:jc w:val="center"/>
            </w:pPr>
            <w:r>
              <w:t>7</w:t>
            </w:r>
          </w:p>
        </w:tc>
      </w:tr>
      <w:tr w:rsidR="009520A9">
        <w:trPr>
          <w:jc w:val="center"/>
        </w:trPr>
        <w:tc>
          <w:tcPr>
            <w:tcW w:w="2245" w:type="dxa"/>
            <w:vAlign w:val="top"/>
          </w:tcPr>
          <w:p w:rsidR="009520A9" w:rsidRDefault="00770482">
            <w:pPr>
              <w:pStyle w:val="CellColumn"/>
              <w:jc w:val="left"/>
            </w:pPr>
            <w:r>
              <w:rPr>
                <w:rFonts w:cs="Times New Roman"/>
              </w:rPr>
              <w:t>Broj provedenih inicijalnih akreditacija znanstvenih instituta</w:t>
            </w:r>
          </w:p>
        </w:tc>
        <w:tc>
          <w:tcPr>
            <w:tcW w:w="2245" w:type="dxa"/>
            <w:vAlign w:val="top"/>
          </w:tcPr>
          <w:p w:rsidR="009520A9" w:rsidRDefault="00770482">
            <w:pPr>
              <w:pStyle w:val="CellColumn"/>
              <w:jc w:val="left"/>
            </w:pPr>
            <w:r>
              <w:rPr>
                <w:rFonts w:cs="Times New Roman"/>
              </w:rPr>
              <w:t>Inicijalna akreditacija znanstvenih instituta provodi se u skladu sa Zakonom (151/22) u cilju osiguravanja i unaprjeđivanja kvalitete znanstvenih instituta i sustava znanosti RH.</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3</w:t>
            </w:r>
          </w:p>
        </w:tc>
        <w:tc>
          <w:tcPr>
            <w:tcW w:w="918" w:type="dxa"/>
          </w:tcPr>
          <w:p w:rsidR="009520A9" w:rsidRDefault="00770482">
            <w:pPr>
              <w:jc w:val="center"/>
            </w:pPr>
            <w:r>
              <w:t>3</w:t>
            </w:r>
          </w:p>
        </w:tc>
        <w:tc>
          <w:tcPr>
            <w:tcW w:w="918" w:type="dxa"/>
          </w:tcPr>
          <w:p w:rsidR="009520A9" w:rsidRDefault="00770482">
            <w:pPr>
              <w:jc w:val="center"/>
            </w:pPr>
            <w:r>
              <w:t>3</w:t>
            </w:r>
          </w:p>
        </w:tc>
      </w:tr>
      <w:tr w:rsidR="009520A9">
        <w:trPr>
          <w:jc w:val="center"/>
        </w:trPr>
        <w:tc>
          <w:tcPr>
            <w:tcW w:w="2245" w:type="dxa"/>
            <w:vAlign w:val="top"/>
          </w:tcPr>
          <w:p w:rsidR="009520A9" w:rsidRDefault="00770482">
            <w:pPr>
              <w:pStyle w:val="CellColumn"/>
              <w:jc w:val="left"/>
            </w:pPr>
            <w:r>
              <w:rPr>
                <w:rFonts w:cs="Times New Roman"/>
              </w:rPr>
              <w:t>Broj provedenih reakreditacija znanstvenih instituta</w:t>
            </w:r>
          </w:p>
        </w:tc>
        <w:tc>
          <w:tcPr>
            <w:tcW w:w="2245" w:type="dxa"/>
            <w:vAlign w:val="top"/>
          </w:tcPr>
          <w:p w:rsidR="009520A9" w:rsidRDefault="00770482">
            <w:pPr>
              <w:pStyle w:val="CellColumn"/>
              <w:jc w:val="left"/>
            </w:pPr>
            <w:r>
              <w:rPr>
                <w:rFonts w:cs="Times New Roman"/>
              </w:rPr>
              <w:t>Reakreditacija znanstvenih instituta provodi se u skladu sa Zakonom (151/22) u cilju osiguravanja i unaprjeđivanja kvalitete znanstvenih instituta i sustava znanosti RH.</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3</w:t>
            </w:r>
          </w:p>
        </w:tc>
        <w:tc>
          <w:tcPr>
            <w:tcW w:w="918" w:type="dxa"/>
          </w:tcPr>
          <w:p w:rsidR="009520A9" w:rsidRDefault="00770482">
            <w:pPr>
              <w:jc w:val="center"/>
            </w:pPr>
            <w:r>
              <w:t>10</w:t>
            </w:r>
          </w:p>
        </w:tc>
        <w:tc>
          <w:tcPr>
            <w:tcW w:w="918" w:type="dxa"/>
          </w:tcPr>
          <w:p w:rsidR="009520A9" w:rsidRDefault="00770482">
            <w:pPr>
              <w:jc w:val="center"/>
            </w:pPr>
            <w:r>
              <w:t>11</w:t>
            </w:r>
          </w:p>
        </w:tc>
      </w:tr>
      <w:tr w:rsidR="009520A9">
        <w:trPr>
          <w:jc w:val="center"/>
        </w:trPr>
        <w:tc>
          <w:tcPr>
            <w:tcW w:w="2245" w:type="dxa"/>
            <w:vAlign w:val="top"/>
          </w:tcPr>
          <w:p w:rsidR="009520A9" w:rsidRDefault="00770482">
            <w:pPr>
              <w:pStyle w:val="CellColumn"/>
              <w:jc w:val="left"/>
            </w:pPr>
            <w:r>
              <w:rPr>
                <w:rFonts w:cs="Times New Roman"/>
              </w:rPr>
              <w:t>Broj pr</w:t>
            </w:r>
            <w:r>
              <w:rPr>
                <w:rFonts w:cs="Times New Roman"/>
              </w:rPr>
              <w:t>ovedenih vrednovanja provedbe programskih ugovora</w:t>
            </w:r>
          </w:p>
        </w:tc>
        <w:tc>
          <w:tcPr>
            <w:tcW w:w="2245" w:type="dxa"/>
            <w:vAlign w:val="top"/>
          </w:tcPr>
          <w:p w:rsidR="009520A9" w:rsidRDefault="00770482">
            <w:pPr>
              <w:pStyle w:val="CellColumn"/>
              <w:jc w:val="left"/>
            </w:pPr>
            <w:r>
              <w:rPr>
                <w:rFonts w:cs="Times New Roman"/>
              </w:rPr>
              <w:t>Vrednovanje provedbe programskih ugovora provodi se u skladu sa Zakonom (151/22) u cilju unaprjeđivanja kvalitete sustava znanosti i visokog obrazovanja.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3</w:t>
            </w:r>
          </w:p>
        </w:tc>
        <w:tc>
          <w:tcPr>
            <w:tcW w:w="918" w:type="dxa"/>
          </w:tcPr>
          <w:p w:rsidR="009520A9" w:rsidRDefault="00770482">
            <w:pPr>
              <w:jc w:val="center"/>
            </w:pPr>
            <w:r>
              <w:t>0</w:t>
            </w:r>
          </w:p>
        </w:tc>
        <w:tc>
          <w:tcPr>
            <w:tcW w:w="918" w:type="dxa"/>
          </w:tcPr>
          <w:p w:rsidR="009520A9" w:rsidRDefault="00770482">
            <w:pPr>
              <w:jc w:val="center"/>
            </w:pPr>
            <w:r>
              <w:t>0</w:t>
            </w:r>
          </w:p>
        </w:tc>
      </w:tr>
    </w:tbl>
    <w:p w:rsidR="009520A9" w:rsidRDefault="009520A9">
      <w:pPr>
        <w:jc w:val="left"/>
      </w:pPr>
    </w:p>
    <w:p w:rsidR="009520A9" w:rsidRDefault="00770482">
      <w:pPr>
        <w:pStyle w:val="Heading4"/>
      </w:pPr>
      <w:r>
        <w:t>A621187 VREDNOVANJE VISOKIH UČILIŠTA</w:t>
      </w:r>
    </w:p>
    <w:p w:rsidR="009520A9" w:rsidRDefault="00770482">
      <w:pPr>
        <w:pStyle w:val="Heading8"/>
        <w:jc w:val="left"/>
      </w:pPr>
      <w:r>
        <w:t>Zakonske i druge pravne osnove</w:t>
      </w:r>
    </w:p>
    <w:p w:rsidR="009520A9" w:rsidRDefault="00770482">
      <w:r>
        <w:t>Odluka o visini i načinu isplate naknada za rad predsjednika i članova stručnih povjerenstava u postupcima vanjskog vrednovanja, Zakon o osiguravanju kvalitete u znanosti i visokom obrazov</w:t>
      </w:r>
      <w:r>
        <w:t>anju (čl. 22. st. 1. – sva javna i privatna visoka učilišta i znanstvene organizacije kojima je osnivač RH podliježu periodičnoj reakreditaciji svakih pet godina).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A621187</w:t>
            </w:r>
          </w:p>
        </w:tc>
        <w:tc>
          <w:tcPr>
            <w:tcW w:w="1632" w:type="dxa"/>
            <w:vAlign w:val="top"/>
          </w:tcPr>
          <w:p w:rsidR="009520A9" w:rsidRDefault="00770482">
            <w:pPr>
              <w:jc w:val="right"/>
            </w:pPr>
            <w:r>
              <w:t>212.636</w:t>
            </w:r>
          </w:p>
        </w:tc>
        <w:tc>
          <w:tcPr>
            <w:tcW w:w="1632" w:type="dxa"/>
            <w:vAlign w:val="top"/>
          </w:tcPr>
          <w:p w:rsidR="009520A9" w:rsidRDefault="00770482">
            <w:pPr>
              <w:jc w:val="right"/>
            </w:pPr>
            <w:r>
              <w:t>394.474</w:t>
            </w:r>
          </w:p>
        </w:tc>
        <w:tc>
          <w:tcPr>
            <w:tcW w:w="1632" w:type="dxa"/>
            <w:vAlign w:val="top"/>
          </w:tcPr>
          <w:p w:rsidR="009520A9" w:rsidRDefault="00770482">
            <w:pPr>
              <w:jc w:val="right"/>
            </w:pPr>
            <w:r>
              <w:t>445.600</w:t>
            </w:r>
          </w:p>
        </w:tc>
        <w:tc>
          <w:tcPr>
            <w:tcW w:w="1632" w:type="dxa"/>
            <w:vAlign w:val="top"/>
          </w:tcPr>
          <w:p w:rsidR="009520A9" w:rsidRDefault="00770482">
            <w:pPr>
              <w:jc w:val="right"/>
            </w:pPr>
            <w:r>
              <w:t>445.600</w:t>
            </w:r>
          </w:p>
        </w:tc>
        <w:tc>
          <w:tcPr>
            <w:tcW w:w="1632" w:type="dxa"/>
            <w:vAlign w:val="top"/>
          </w:tcPr>
          <w:p w:rsidR="009520A9" w:rsidRDefault="00770482">
            <w:pPr>
              <w:jc w:val="right"/>
            </w:pPr>
            <w:r>
              <w:t>445.600</w:t>
            </w:r>
          </w:p>
        </w:tc>
        <w:tc>
          <w:tcPr>
            <w:tcW w:w="510" w:type="dxa"/>
            <w:vAlign w:val="top"/>
          </w:tcPr>
          <w:p w:rsidR="009520A9" w:rsidRDefault="00770482">
            <w:pPr>
              <w:jc w:val="right"/>
            </w:pPr>
            <w:r>
              <w:t>113,0</w:t>
            </w:r>
          </w:p>
        </w:tc>
      </w:tr>
    </w:tbl>
    <w:p w:rsidR="009520A9" w:rsidRDefault="009520A9">
      <w:pPr>
        <w:jc w:val="left"/>
      </w:pPr>
    </w:p>
    <w:p w:rsidR="009520A9" w:rsidRDefault="00770482">
      <w:r>
        <w:t>AZVO u skladu sa svojom zakonskom obvezom i kao jednom od svojih prioritetnih aktivnosti provodi postupke vanjskih vrednovanja. To su prije svega postupak reakreditacije visokih učilišta koji je obvezan te se provodi u petogodišnjim ciklusima te postupak i</w:t>
      </w:r>
      <w:r>
        <w:t xml:space="preserve">nicijalne akreditacije studija. Nakon što se u 2023. g. završi drugi ciklus reakreditacije visokih učilišta, u 2024. g. započet će treći ciklus reakreditacije visokih učilišta u skladu s novim ZOK-om.   </w:t>
      </w:r>
    </w:p>
    <w:p w:rsidR="009520A9" w:rsidRDefault="00770482">
      <w:r>
        <w:t>U 2024. planira se provedba reakreditacije 12 visoki</w:t>
      </w:r>
      <w:r>
        <w:t>h učilišta. Okvirni trošak reakreditacije jednog visokog učilišta iznosi oko 11.050 eura jer se unutar postupka reakreditiraju i svi programi tog visokog učilišta. U jednom reakreditacijskom postupku sudjeluje najmanje pet članova povjerenstva, koje uključ</w:t>
      </w:r>
      <w:r>
        <w:t>uje i međunarodne stručnjake i posjet traje 4-5 dana, ovisno o veličini institucije. AZVO je dužan svim članovima povjerenstava isplatiti naknadu za intelektualne usluge, pokriti troškove prijevoza i smještaja te prehrane. Također, u posjetu sudjeluje i dj</w:t>
      </w:r>
      <w:r>
        <w:t>elatnik AZVO-a koji je koordinator, a kod većih visokih učilišta i pomoćni koordinator. Trošak koordinatora i pomoćnog koordinatora uključuje prijevoz i smještaj te dnevnice ako je reakreditacija izvan mjesta prebivališta. Uz njih, u posjetu sudjeluje i pr</w:t>
      </w:r>
      <w:r>
        <w:t xml:space="preserve">evoditelj te trošak uključuje prijevoz i smještaj, kao i naknadu za intelektualne usluge prevoditelja. Osim troška prevođenja, potrebno je uključiti i trošak lekture završnog izvješća, što znači naknadu za intelektualne usluge (prijevod i lektura potrebni </w:t>
      </w:r>
      <w:r>
        <w:t xml:space="preserve">su jer se izvješća javno objavljuju na stranicama AZVO-a i europskog DEQAR-a).  </w:t>
      </w:r>
    </w:p>
    <w:p w:rsidR="009520A9" w:rsidRDefault="00770482">
      <w:r>
        <w:t>Troškovi provedbe postupka reakreditacije za navedenih 12 visokih učilišta obuhvaćaju naknade za članove povjerenstava, prevoditelja i lektora u iznosu od 111.720 eura, troško</w:t>
      </w:r>
      <w:r>
        <w:t>ve službenih putovanja za članove povjerenstava i prevoditelja u iznosu od 48.780 eura, službena putovanja koordinatora AZVO-a  u iznosu od 21.720 eura. Nadalje, uključuju i troškove postupka vrednovanja AZVO-a za potrebe međunarodne akreditacije te članar</w:t>
      </w:r>
      <w:r>
        <w:t xml:space="preserve">ine od strane World Federation for Medical Education (WFME) u iznosu od 60.721 euro, kao i akreditaciju Sveučilišta u Mostaru.  </w:t>
      </w:r>
    </w:p>
    <w:p w:rsidR="009520A9" w:rsidRDefault="00770482">
      <w:r>
        <w:t>U planirana sredstva za 2024. g. potrebno je uračunati i povećani trošak za inicijalnu akreditaciju studijskih programa od stup</w:t>
      </w:r>
      <w:r>
        <w:t>anja na snagu novog ZOK-a u kojem svi novi studiji javnih sveučilišta podliježu postupku inicijalne akreditacije koji provodi AZVO. U 2024. g. predviđa se provedba 40 inicijalnih akreditacija jer je procjena da će toliko zahtjeva biti zaprimljeno. U jednom</w:t>
      </w:r>
      <w:r>
        <w:t xml:space="preserve"> postupku inicijalne akreditacije sudjeluje najmanje peteročlano povjerenstvo koje uključuje i međunarodne stručnjake, a po potrebi može biti i veći broj članova. Postupak inicijalne akreditacije studijskog programa traje 2-3 dana. AZVO je dužan svim člano</w:t>
      </w:r>
      <w:r>
        <w:t>vima povjerenstava isplatiti naknadu za intelektualne usluge (400 eura po postupku), pokriti troškove prijevoza i smještaja te prehranu. Također, u posjetu sudjeluje i djelatnik AZVO-a koji je koordinator, a kod većih visokih učilišta i pomoćni koordinator</w:t>
      </w:r>
      <w:r>
        <w:t>. Troškovi koordinatora i pomoćnog koordinatora uključuju prijevoz i smještaj te dnevnice ako je inicijalna akreditacija izvan mjesta prebivališta. U posjetu sudjeluje i prevoditelj te trošak uključuje prijevoz i smještaj, kao i naknadu za intelektualne us</w:t>
      </w:r>
      <w:r>
        <w:t xml:space="preserve">luge prevoditelja. Osim troška prevođenja, potrebno je uključiti i trošak lekture završnog izvješća što uključuje naknadu za intelektualne usluge (prijevod i lektura potrebni su jer se izvješća javno objavljuju i na stranicama AZVO-a i europskog DEQAR-a). </w:t>
      </w:r>
      <w:r>
        <w:t xml:space="preserve"> </w:t>
      </w:r>
    </w:p>
    <w:p w:rsidR="009520A9" w:rsidRDefault="00770482">
      <w:r>
        <w:t>Troškovi provedbe navedenih 40 inicijalnih akreditacija visokih učilišta i/ili studijskih programa obuhvaćaju naknade za članove povjerenstva, prevoditelja i lektora u iznosu od 134.400 eura, troškove službenih putovanja za članove povjerenstava i prevod</w:t>
      </w:r>
      <w:r>
        <w:t>itelja u iznosu od 54.000 eura, službena putovanja koordinatora AZVO-a u iznosu od 22.480 eura.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reakreditiranih visokih učilišta u drugom ciklusu</w:t>
            </w:r>
          </w:p>
        </w:tc>
        <w:tc>
          <w:tcPr>
            <w:tcW w:w="2245" w:type="dxa"/>
            <w:vAlign w:val="top"/>
          </w:tcPr>
          <w:p w:rsidR="009520A9" w:rsidRDefault="00770482">
            <w:pPr>
              <w:pStyle w:val="CellColumn"/>
              <w:jc w:val="left"/>
            </w:pPr>
            <w:r>
              <w:rPr>
                <w:rFonts w:cs="Times New Roman"/>
              </w:rPr>
              <w:t>Reakreditacija visokih učilišta provodi se u skladu sa ZOK-om s ciljem osiguravanja i unaprjeđivanja kvalitete visokih učilišta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12</w:t>
            </w:r>
          </w:p>
        </w:tc>
        <w:tc>
          <w:tcPr>
            <w:tcW w:w="918" w:type="dxa"/>
          </w:tcPr>
          <w:p w:rsidR="009520A9" w:rsidRDefault="00770482">
            <w:pPr>
              <w:jc w:val="center"/>
            </w:pPr>
            <w:r>
              <w:t>12</w:t>
            </w:r>
          </w:p>
        </w:tc>
        <w:tc>
          <w:tcPr>
            <w:tcW w:w="918" w:type="dxa"/>
          </w:tcPr>
          <w:p w:rsidR="009520A9" w:rsidRDefault="00770482">
            <w:pPr>
              <w:jc w:val="center"/>
            </w:pPr>
            <w:r>
              <w:t>12</w:t>
            </w:r>
          </w:p>
        </w:tc>
      </w:tr>
      <w:tr w:rsidR="009520A9">
        <w:trPr>
          <w:jc w:val="center"/>
        </w:trPr>
        <w:tc>
          <w:tcPr>
            <w:tcW w:w="2245" w:type="dxa"/>
            <w:vAlign w:val="top"/>
          </w:tcPr>
          <w:p w:rsidR="009520A9" w:rsidRDefault="00770482">
            <w:pPr>
              <w:pStyle w:val="CellColumn"/>
              <w:jc w:val="left"/>
            </w:pPr>
            <w:r>
              <w:rPr>
                <w:rFonts w:cs="Times New Roman"/>
              </w:rPr>
              <w:t>Broj inicijalnih akreditacija</w:t>
            </w:r>
          </w:p>
        </w:tc>
        <w:tc>
          <w:tcPr>
            <w:tcW w:w="2245" w:type="dxa"/>
            <w:vAlign w:val="top"/>
          </w:tcPr>
          <w:p w:rsidR="009520A9" w:rsidRDefault="00770482">
            <w:pPr>
              <w:pStyle w:val="CellColumn"/>
              <w:jc w:val="left"/>
            </w:pPr>
            <w:r>
              <w:rPr>
                <w:rFonts w:cs="Times New Roman"/>
              </w:rPr>
              <w:t>Inicijalna akreditacija visokih učilišta i/ili studijskih programa provodi se u skladu sa ZOK-om s ciljem zaštite kvalitete novih visokih učilišta i studijskih programa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40</w:t>
            </w:r>
          </w:p>
        </w:tc>
        <w:tc>
          <w:tcPr>
            <w:tcW w:w="918" w:type="dxa"/>
          </w:tcPr>
          <w:p w:rsidR="009520A9" w:rsidRDefault="00770482">
            <w:pPr>
              <w:jc w:val="center"/>
            </w:pPr>
            <w:r>
              <w:t>40</w:t>
            </w:r>
          </w:p>
        </w:tc>
        <w:tc>
          <w:tcPr>
            <w:tcW w:w="918" w:type="dxa"/>
          </w:tcPr>
          <w:p w:rsidR="009520A9" w:rsidRDefault="00770482">
            <w:pPr>
              <w:jc w:val="center"/>
            </w:pPr>
            <w:r>
              <w:t>40</w:t>
            </w:r>
          </w:p>
        </w:tc>
      </w:tr>
    </w:tbl>
    <w:p w:rsidR="009520A9" w:rsidRDefault="009520A9">
      <w:pPr>
        <w:jc w:val="left"/>
      </w:pPr>
    </w:p>
    <w:p w:rsidR="009520A9" w:rsidRDefault="00770482">
      <w:pPr>
        <w:pStyle w:val="Heading4"/>
      </w:pPr>
      <w:r>
        <w:t>A621190 VANJSKA PROSUDBA SUSTAVA O</w:t>
      </w:r>
      <w:r>
        <w:t>SIGURANJA KVALITETE VISOKIH UČILIŠTA I ZNANSTVENIH ORGANIZACIJA (VP)</w:t>
      </w:r>
    </w:p>
    <w:p w:rsidR="009520A9" w:rsidRDefault="00770482">
      <w:pPr>
        <w:pStyle w:val="Heading8"/>
        <w:jc w:val="left"/>
      </w:pPr>
      <w:r>
        <w:t>Zakonske i druge pravne osnove</w:t>
      </w:r>
    </w:p>
    <w:p w:rsidR="009520A9" w:rsidRDefault="00770482">
      <w:r>
        <w:t>Članak 23. st. 1. Zakona o osiguravanju kvalitete u znanosti i visokom obrazovanju, Pravilnik o auditu.</w:t>
      </w:r>
    </w:p>
    <w:tbl>
      <w:tblPr>
        <w:tblStyle w:val="StilTablice"/>
        <w:tblW w:w="10206" w:type="dxa"/>
        <w:jc w:val="center"/>
        <w:tblLook w:val="04A0" w:firstRow="1" w:lastRow="0" w:firstColumn="1" w:lastColumn="0" w:noHBand="0" w:noVBand="1"/>
      </w:tblPr>
      <w:tblGrid>
        <w:gridCol w:w="1477"/>
        <w:gridCol w:w="1567"/>
        <w:gridCol w:w="1552"/>
        <w:gridCol w:w="1552"/>
        <w:gridCol w:w="1544"/>
        <w:gridCol w:w="1544"/>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A621190</w:t>
            </w:r>
          </w:p>
        </w:tc>
        <w:tc>
          <w:tcPr>
            <w:tcW w:w="1632" w:type="dxa"/>
            <w:vAlign w:val="top"/>
          </w:tcPr>
          <w:p w:rsidR="009520A9" w:rsidRDefault="00770482">
            <w:pPr>
              <w:jc w:val="right"/>
            </w:pPr>
            <w:r>
              <w:t>37.780</w:t>
            </w:r>
          </w:p>
        </w:tc>
        <w:tc>
          <w:tcPr>
            <w:tcW w:w="1632" w:type="dxa"/>
            <w:vAlign w:val="top"/>
          </w:tcPr>
          <w:p w:rsidR="009520A9" w:rsidRDefault="00770482">
            <w:pPr>
              <w:jc w:val="right"/>
            </w:pPr>
            <w:r>
              <w:t>24.546</w:t>
            </w:r>
          </w:p>
        </w:tc>
        <w:tc>
          <w:tcPr>
            <w:tcW w:w="1632" w:type="dxa"/>
            <w:vAlign w:val="top"/>
          </w:tcPr>
          <w:p w:rsidR="009520A9" w:rsidRDefault="00770482">
            <w:pPr>
              <w:jc w:val="right"/>
            </w:pPr>
            <w:r>
              <w:t>12.280</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510" w:type="dxa"/>
            <w:vAlign w:val="top"/>
          </w:tcPr>
          <w:p w:rsidR="009520A9" w:rsidRDefault="00770482">
            <w:pPr>
              <w:jc w:val="right"/>
            </w:pPr>
            <w:r>
              <w:t>50,0</w:t>
            </w:r>
          </w:p>
        </w:tc>
      </w:tr>
    </w:tbl>
    <w:p w:rsidR="009520A9" w:rsidRDefault="009520A9">
      <w:pPr>
        <w:jc w:val="left"/>
      </w:pPr>
    </w:p>
    <w:p w:rsidR="009520A9" w:rsidRDefault="00770482">
      <w:r>
        <w:t>Agencija za znanost i visoko obrazovanje treba završiti postupke vanjske prosudbe sustava osiguravanja kvalitete visokih učilišta započete u skladu sa Zakonom o osiguravanju kvalitete u znanosti i visokom obrazovanju (čl. 23. st.1.) te Pravilnikom o vanjsk</w:t>
      </w:r>
      <w:r>
        <w:t>oj prosudbi (auditu) sustava osiguravanja kvalitete  visokih učilišta u Republici Hrvatskoj.   Postupak vanjskog audita  sastoji se od četiri faze:planiranje, posjet stručnog povjerenstva visokom učilištu, izrade izvješća i faze naknadnog praćenja (Follow-</w:t>
      </w:r>
      <w:r>
        <w:t xml:space="preserve">up). Faza naknadnog praćenja u skladu s čl. 11. Pravilnika  o vanjskoj prosudbi (auditu) sustava osiguravanja kvalitete  visokih učilišta u Republici Hrvatskoj traje 2 godine od usvajanja izvješća o vanjskoj prosudbi. U tom razdoblju visoko učilište dužno </w:t>
      </w:r>
      <w:r>
        <w:t>je u skladu s preporukama stručnog povjerenstva sadržanim u izvješću vanjske prosudbe izraditi akcijski plan i provesti planirana poboljašanja te o uspješnosti i učinkovitosti provedenih poboljšana izvijestiti stručno povjerenstvo koje prati i ocjenjuje  u</w:t>
      </w:r>
      <w:r>
        <w:t>spješnost realizacije faze naknadnog praćenja i izrađuje zaključak povjerenstva o uspješnosti provedbe aktivnosti visokog učilišta. U sklopu faze naknadnog praćenja predsjednik povjerenstva i koordinator AZVO posjete visoko učilište te  na sastanaku s pred</w:t>
      </w:r>
      <w:r>
        <w:t>stavnicima vrednovanog visokog učilišta rasprave  uspješnost realizacije akcijskog plana, učinkovitost provedenih aktivnosti visokog učilišta te zaključke povjerenstva. U skladu s realiziranim planovima vanjske prosudbe još 7 veleučilišta je u fazi naknadn</w:t>
      </w:r>
      <w:r>
        <w:t xml:space="preserve">og praćenja koje će završiti tijekom 2024. i početkom 2025. godine. </w:t>
      </w:r>
    </w:p>
    <w:p w:rsidR="009520A9" w:rsidRDefault="00770482">
      <w:r>
        <w:t>Troškovi provedbe 7 naknadnih praćenja u postupku audita visokih učilišta obuhvaćaju naknade za članove povjerenstava  u iznosu od 7.280  eura, troškove za službena putovanja za člana pov</w:t>
      </w:r>
      <w:r>
        <w:t>jerenstava i  koordinatora  u iznosu od 3.000  eura  te naknadu troškova osobama izvan radnog odnosa (za sudjelovanje prevoditelja) u iznosu od 2.000 eura.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w:t>
            </w:r>
            <w:r>
              <w:rPr>
                <w:rFonts w:cs="Times New Roman"/>
              </w:rPr>
              <w:t>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visokih učilišta koja su auditirana u drugom ciklusu</w:t>
            </w:r>
          </w:p>
        </w:tc>
        <w:tc>
          <w:tcPr>
            <w:tcW w:w="2245" w:type="dxa"/>
            <w:vAlign w:val="top"/>
          </w:tcPr>
          <w:p w:rsidR="009520A9" w:rsidRDefault="00770482">
            <w:pPr>
              <w:pStyle w:val="CellColumn"/>
              <w:jc w:val="left"/>
            </w:pPr>
            <w:r>
              <w:rPr>
                <w:rFonts w:cs="Times New Roman"/>
              </w:rPr>
              <w:t>Audit se provodi u skladu sa ZOK-om s ciljem unaprjeđivanja internog osiguravanja kvalitete visokih učilišta</w:t>
            </w:r>
          </w:p>
        </w:tc>
        <w:tc>
          <w:tcPr>
            <w:tcW w:w="918" w:type="dxa"/>
          </w:tcPr>
          <w:p w:rsidR="009520A9" w:rsidRDefault="00770482">
            <w:pPr>
              <w:jc w:val="center"/>
            </w:pPr>
            <w:r>
              <w:t>Broj</w:t>
            </w:r>
          </w:p>
        </w:tc>
        <w:tc>
          <w:tcPr>
            <w:tcW w:w="918" w:type="dxa"/>
          </w:tcPr>
          <w:p w:rsidR="009520A9" w:rsidRDefault="00770482">
            <w:pPr>
              <w:jc w:val="center"/>
            </w:pPr>
            <w:r>
              <w:t>13</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7</w:t>
            </w:r>
          </w:p>
        </w:tc>
        <w:tc>
          <w:tcPr>
            <w:tcW w:w="918" w:type="dxa"/>
          </w:tcPr>
          <w:p w:rsidR="009520A9" w:rsidRDefault="00770482">
            <w:pPr>
              <w:jc w:val="center"/>
            </w:pPr>
            <w:r>
              <w:t>0</w:t>
            </w:r>
          </w:p>
        </w:tc>
        <w:tc>
          <w:tcPr>
            <w:tcW w:w="918" w:type="dxa"/>
          </w:tcPr>
          <w:p w:rsidR="009520A9" w:rsidRDefault="00770482">
            <w:pPr>
              <w:jc w:val="center"/>
            </w:pPr>
            <w:r>
              <w:t>0</w:t>
            </w:r>
          </w:p>
        </w:tc>
      </w:tr>
    </w:tbl>
    <w:p w:rsidR="009520A9" w:rsidRDefault="009520A9">
      <w:pPr>
        <w:jc w:val="left"/>
      </w:pPr>
    </w:p>
    <w:p w:rsidR="009520A9" w:rsidRDefault="00770482">
      <w:pPr>
        <w:pStyle w:val="Heading4"/>
      </w:pPr>
      <w:r>
        <w:t>A621191 PRAĆENJE ZAPOŠLJAVANJA DIPLOMIRANIH STUDENATA</w:t>
      </w:r>
    </w:p>
    <w:p w:rsidR="009520A9" w:rsidRDefault="00770482">
      <w:pPr>
        <w:pStyle w:val="Heading8"/>
        <w:jc w:val="left"/>
      </w:pPr>
      <w:r>
        <w:t>Zakonske i druge pravne osnove</w:t>
      </w:r>
    </w:p>
    <w:p w:rsidR="009520A9" w:rsidRDefault="00770482">
      <w:r>
        <w:t>Zakon o osiguravanju kvalitete u znanosti i visokom obrazovanju, Zakon o Hrvatskom kvalifikacijskom okviru.</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A621191</w:t>
            </w:r>
          </w:p>
        </w:tc>
        <w:tc>
          <w:tcPr>
            <w:tcW w:w="1632" w:type="dxa"/>
            <w:vAlign w:val="top"/>
          </w:tcPr>
          <w:p w:rsidR="009520A9" w:rsidRDefault="00770482">
            <w:pPr>
              <w:jc w:val="right"/>
            </w:pPr>
            <w:r>
              <w:t>3.770</w:t>
            </w:r>
          </w:p>
        </w:tc>
        <w:tc>
          <w:tcPr>
            <w:tcW w:w="1632" w:type="dxa"/>
            <w:vAlign w:val="top"/>
          </w:tcPr>
          <w:p w:rsidR="009520A9" w:rsidRDefault="00770482">
            <w:pPr>
              <w:jc w:val="right"/>
            </w:pPr>
            <w:r>
              <w:t>28.025</w:t>
            </w:r>
          </w:p>
        </w:tc>
        <w:tc>
          <w:tcPr>
            <w:tcW w:w="1632" w:type="dxa"/>
            <w:vAlign w:val="top"/>
          </w:tcPr>
          <w:p w:rsidR="009520A9" w:rsidRDefault="00770482">
            <w:pPr>
              <w:jc w:val="right"/>
            </w:pPr>
            <w:r>
              <w:t>29.150</w:t>
            </w:r>
          </w:p>
        </w:tc>
        <w:tc>
          <w:tcPr>
            <w:tcW w:w="1632" w:type="dxa"/>
            <w:vAlign w:val="top"/>
          </w:tcPr>
          <w:p w:rsidR="009520A9" w:rsidRDefault="00770482">
            <w:pPr>
              <w:jc w:val="right"/>
            </w:pPr>
            <w:r>
              <w:t>29.150</w:t>
            </w:r>
          </w:p>
        </w:tc>
        <w:tc>
          <w:tcPr>
            <w:tcW w:w="1632" w:type="dxa"/>
            <w:vAlign w:val="top"/>
          </w:tcPr>
          <w:p w:rsidR="009520A9" w:rsidRDefault="00770482">
            <w:pPr>
              <w:jc w:val="right"/>
            </w:pPr>
            <w:r>
              <w:t>29.150</w:t>
            </w:r>
          </w:p>
        </w:tc>
        <w:tc>
          <w:tcPr>
            <w:tcW w:w="510" w:type="dxa"/>
            <w:vAlign w:val="top"/>
          </w:tcPr>
          <w:p w:rsidR="009520A9" w:rsidRDefault="00770482">
            <w:pPr>
              <w:jc w:val="right"/>
            </w:pPr>
            <w:r>
              <w:t>104,0</w:t>
            </w:r>
          </w:p>
        </w:tc>
      </w:tr>
    </w:tbl>
    <w:p w:rsidR="009520A9" w:rsidRDefault="009520A9">
      <w:pPr>
        <w:jc w:val="left"/>
      </w:pPr>
    </w:p>
    <w:p w:rsidR="009520A9" w:rsidRDefault="00770482">
      <w:r>
        <w:t>Sredstva na aktivnosti  namijenjena su za provođenje anketiranja o zapošljivosti diplomiranih studenata i analizu podataka nakon provedenoga anketnog istraživanja. Potreban je angažman vanjskih stručnjaka za obrazovanje i tržište rada koji pripremaju pitan</w:t>
      </w:r>
      <w:r>
        <w:t>ja za upitnik, surađuju s AZVO-om na određivanju ciljane skupine za istraživanje te analiziraju podatke nakon provedenoga anketnog istraživanja. Također je za vrijeme trajanja istraživanja u cilju povećanja broja osoba koje će odgovoriti na poslani upitnik</w:t>
      </w:r>
      <w:r>
        <w:t xml:space="preserve"> potrebno angažirati do 10 osoba koje telefonski kontaktiraju ispitanike koji nisu odgovorili na poslani upitnik.  </w:t>
      </w:r>
    </w:p>
    <w:p w:rsidR="009520A9" w:rsidRDefault="00770482">
      <w:r>
        <w:t xml:space="preserve">Trošak vanjskih stručnjaka iznosi 21.000 eura za intelektualne usluge, a za ostale usluge 2.100 eura.  </w:t>
      </w:r>
    </w:p>
    <w:p w:rsidR="009520A9" w:rsidRDefault="00770482">
      <w:r>
        <w:t>Istraživanje i analiza rezultata pro</w:t>
      </w:r>
      <w:r>
        <w:t>vodi se svake godine. Ne razvija se novi sustav, nego se provodi ista procedura.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Izrađena analiza zapošljivosti diplomiranih studenata</w:t>
            </w:r>
          </w:p>
        </w:tc>
        <w:tc>
          <w:tcPr>
            <w:tcW w:w="2245" w:type="dxa"/>
            <w:vAlign w:val="top"/>
          </w:tcPr>
          <w:p w:rsidR="009520A9" w:rsidRDefault="00770482">
            <w:pPr>
              <w:pStyle w:val="CellColumn"/>
              <w:jc w:val="left"/>
            </w:pPr>
            <w:r>
              <w:rPr>
                <w:rFonts w:cs="Times New Roman"/>
              </w:rPr>
              <w:t>Analiza zapošljivosti diplomiranih studenata provodi se s ciljem dobivanja informacija o zapošljivosti završenih studenata i relevantnosti studijskih programa</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bl>
    <w:p w:rsidR="009520A9" w:rsidRDefault="009520A9">
      <w:pPr>
        <w:jc w:val="left"/>
      </w:pPr>
    </w:p>
    <w:p w:rsidR="009520A9" w:rsidRDefault="00770482">
      <w:pPr>
        <w:pStyle w:val="Heading4"/>
      </w:pPr>
      <w:r>
        <w:t>A621192 TROŠKOVI SREDIŠNJEG PRIJAVNOG UREDA</w:t>
      </w:r>
    </w:p>
    <w:p w:rsidR="009520A9" w:rsidRDefault="00770482">
      <w:pPr>
        <w:pStyle w:val="Heading8"/>
        <w:jc w:val="left"/>
      </w:pPr>
      <w:r>
        <w:t>Zakonske i druge pravne osnove</w:t>
      </w:r>
    </w:p>
    <w:p w:rsidR="009520A9" w:rsidRDefault="00770482">
      <w:r>
        <w:t>Zakon o osiguravanju kvalitete u znanosti i visokom obrazovanju, Zakon o priznavanju i vrednovanju inozemnih obrazovnih kvalifikacija.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A621192</w:t>
            </w:r>
          </w:p>
        </w:tc>
        <w:tc>
          <w:tcPr>
            <w:tcW w:w="1632" w:type="dxa"/>
            <w:vAlign w:val="top"/>
          </w:tcPr>
          <w:p w:rsidR="009520A9" w:rsidRDefault="00770482">
            <w:pPr>
              <w:jc w:val="right"/>
            </w:pPr>
            <w:r>
              <w:t>36.325</w:t>
            </w:r>
          </w:p>
        </w:tc>
        <w:tc>
          <w:tcPr>
            <w:tcW w:w="1632" w:type="dxa"/>
            <w:vAlign w:val="top"/>
          </w:tcPr>
          <w:p w:rsidR="009520A9" w:rsidRDefault="00770482">
            <w:pPr>
              <w:jc w:val="right"/>
            </w:pPr>
            <w:r>
              <w:t>51.768</w:t>
            </w:r>
          </w:p>
        </w:tc>
        <w:tc>
          <w:tcPr>
            <w:tcW w:w="1632" w:type="dxa"/>
            <w:vAlign w:val="top"/>
          </w:tcPr>
          <w:p w:rsidR="009520A9" w:rsidRDefault="00770482">
            <w:pPr>
              <w:jc w:val="right"/>
            </w:pPr>
            <w:r>
              <w:t>44.520</w:t>
            </w:r>
          </w:p>
        </w:tc>
        <w:tc>
          <w:tcPr>
            <w:tcW w:w="1632" w:type="dxa"/>
            <w:vAlign w:val="top"/>
          </w:tcPr>
          <w:p w:rsidR="009520A9" w:rsidRDefault="00770482">
            <w:pPr>
              <w:jc w:val="right"/>
            </w:pPr>
            <w:r>
              <w:t>44.520</w:t>
            </w:r>
          </w:p>
        </w:tc>
        <w:tc>
          <w:tcPr>
            <w:tcW w:w="1632" w:type="dxa"/>
            <w:vAlign w:val="top"/>
          </w:tcPr>
          <w:p w:rsidR="009520A9" w:rsidRDefault="00770482">
            <w:pPr>
              <w:jc w:val="right"/>
            </w:pPr>
            <w:r>
              <w:t>44.520</w:t>
            </w:r>
          </w:p>
        </w:tc>
        <w:tc>
          <w:tcPr>
            <w:tcW w:w="510" w:type="dxa"/>
            <w:vAlign w:val="top"/>
          </w:tcPr>
          <w:p w:rsidR="009520A9" w:rsidRDefault="00770482">
            <w:pPr>
              <w:jc w:val="right"/>
            </w:pPr>
            <w:r>
              <w:t>86,0</w:t>
            </w:r>
          </w:p>
        </w:tc>
      </w:tr>
    </w:tbl>
    <w:p w:rsidR="009520A9" w:rsidRDefault="009520A9">
      <w:pPr>
        <w:jc w:val="left"/>
      </w:pPr>
    </w:p>
    <w:p w:rsidR="009520A9" w:rsidRDefault="00770482">
      <w:r>
        <w:t>Sredstva na aktivnosti  namijenjena su za administrativne troškove Središnjeg prijavnog ureda koji obavlja poslove povezane s prijavama za upis na prijediplomske i integrirane studijske programe, prijavama za upis na diplomske studijske programe, prijavama</w:t>
      </w:r>
      <w:r>
        <w:t xml:space="preserve"> kandidata izvan redovnoga obrazovnog sustava u RH za upis u 1.razred srednje škole te poslove priznavanja inozemnih srednjoškolskih i prijediplomskih kvalifikacija u svrhu nastavka obrazovanja.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visokih učilišta koja provode centraliziranu prijavu studijskih programa</w:t>
            </w:r>
          </w:p>
        </w:tc>
        <w:tc>
          <w:tcPr>
            <w:tcW w:w="2245" w:type="dxa"/>
            <w:vAlign w:val="top"/>
          </w:tcPr>
          <w:p w:rsidR="009520A9" w:rsidRDefault="00770482">
            <w:pPr>
              <w:pStyle w:val="CellColumn"/>
              <w:jc w:val="left"/>
            </w:pPr>
            <w:r>
              <w:rPr>
                <w:rFonts w:cs="Times New Roman"/>
              </w:rPr>
              <w:t>Centralizirana prijava programa provodi se s ciljem u</w:t>
            </w:r>
            <w:r>
              <w:rPr>
                <w:rFonts w:cs="Times New Roman"/>
              </w:rPr>
              <w:t>naprjeđenja kvalitete i transparentnosti upisnog postupka na studije</w:t>
            </w:r>
          </w:p>
        </w:tc>
        <w:tc>
          <w:tcPr>
            <w:tcW w:w="918" w:type="dxa"/>
          </w:tcPr>
          <w:p w:rsidR="009520A9" w:rsidRDefault="00770482">
            <w:pPr>
              <w:jc w:val="center"/>
            </w:pPr>
            <w:r>
              <w:t>Broj</w:t>
            </w:r>
          </w:p>
        </w:tc>
        <w:tc>
          <w:tcPr>
            <w:tcW w:w="918" w:type="dxa"/>
          </w:tcPr>
          <w:p w:rsidR="009520A9" w:rsidRDefault="00770482">
            <w:pPr>
              <w:jc w:val="center"/>
            </w:pPr>
            <w:r>
              <w:t>201</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201</w:t>
            </w:r>
          </w:p>
        </w:tc>
        <w:tc>
          <w:tcPr>
            <w:tcW w:w="918" w:type="dxa"/>
          </w:tcPr>
          <w:p w:rsidR="009520A9" w:rsidRDefault="00770482">
            <w:pPr>
              <w:jc w:val="center"/>
            </w:pPr>
            <w:r>
              <w:t>201</w:t>
            </w:r>
          </w:p>
        </w:tc>
        <w:tc>
          <w:tcPr>
            <w:tcW w:w="918" w:type="dxa"/>
          </w:tcPr>
          <w:p w:rsidR="009520A9" w:rsidRDefault="00770482">
            <w:pPr>
              <w:jc w:val="center"/>
            </w:pPr>
            <w:r>
              <w:t>201</w:t>
            </w:r>
          </w:p>
        </w:tc>
      </w:tr>
    </w:tbl>
    <w:p w:rsidR="009520A9" w:rsidRDefault="009520A9">
      <w:pPr>
        <w:jc w:val="left"/>
      </w:pPr>
    </w:p>
    <w:p w:rsidR="009520A9" w:rsidRDefault="00770482">
      <w:pPr>
        <w:pStyle w:val="Heading4"/>
      </w:pPr>
      <w:r>
        <w:t>A867018 PRIMJENA HRVATSKOG KVALIFIKACIJSKOG OKVIRA U VISOKOM OBRAZOVANJU</w:t>
      </w:r>
    </w:p>
    <w:p w:rsidR="009520A9" w:rsidRDefault="00770482">
      <w:pPr>
        <w:pStyle w:val="Heading8"/>
        <w:jc w:val="left"/>
      </w:pPr>
      <w:r>
        <w:t>Zakonske i druge pravne osnove</w:t>
      </w:r>
    </w:p>
    <w:p w:rsidR="009520A9" w:rsidRDefault="00770482">
      <w:r>
        <w:t>Zakon o izmjenama i dopuni Zakona o Hrvatskom kvalifikacijskom okviru (NN 20/21), Pravilnik o Registru HKO-a.</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A867018</w:t>
            </w:r>
          </w:p>
        </w:tc>
        <w:tc>
          <w:tcPr>
            <w:tcW w:w="1632" w:type="dxa"/>
            <w:vAlign w:val="top"/>
          </w:tcPr>
          <w:p w:rsidR="009520A9" w:rsidRDefault="00770482">
            <w:pPr>
              <w:jc w:val="right"/>
            </w:pPr>
            <w:r>
              <w:t>9.654</w:t>
            </w:r>
          </w:p>
        </w:tc>
        <w:tc>
          <w:tcPr>
            <w:tcW w:w="1632" w:type="dxa"/>
            <w:vAlign w:val="top"/>
          </w:tcPr>
          <w:p w:rsidR="009520A9" w:rsidRDefault="00770482">
            <w:pPr>
              <w:jc w:val="right"/>
            </w:pPr>
            <w:r>
              <w:t>56.718</w:t>
            </w:r>
          </w:p>
        </w:tc>
        <w:tc>
          <w:tcPr>
            <w:tcW w:w="1632" w:type="dxa"/>
            <w:vAlign w:val="top"/>
          </w:tcPr>
          <w:p w:rsidR="009520A9" w:rsidRDefault="00770482">
            <w:pPr>
              <w:jc w:val="right"/>
            </w:pPr>
            <w:r>
              <w:t>108.475</w:t>
            </w:r>
          </w:p>
        </w:tc>
        <w:tc>
          <w:tcPr>
            <w:tcW w:w="1632" w:type="dxa"/>
            <w:vAlign w:val="top"/>
          </w:tcPr>
          <w:p w:rsidR="009520A9" w:rsidRDefault="00770482">
            <w:pPr>
              <w:jc w:val="right"/>
            </w:pPr>
            <w:r>
              <w:t>125.260</w:t>
            </w:r>
          </w:p>
        </w:tc>
        <w:tc>
          <w:tcPr>
            <w:tcW w:w="1632" w:type="dxa"/>
            <w:vAlign w:val="top"/>
          </w:tcPr>
          <w:p w:rsidR="009520A9" w:rsidRDefault="00770482">
            <w:pPr>
              <w:jc w:val="right"/>
            </w:pPr>
            <w:r>
              <w:t>125.260</w:t>
            </w:r>
          </w:p>
        </w:tc>
        <w:tc>
          <w:tcPr>
            <w:tcW w:w="510" w:type="dxa"/>
            <w:vAlign w:val="top"/>
          </w:tcPr>
          <w:p w:rsidR="009520A9" w:rsidRDefault="00770482">
            <w:pPr>
              <w:jc w:val="right"/>
            </w:pPr>
            <w:r>
              <w:t>191,3</w:t>
            </w:r>
          </w:p>
        </w:tc>
      </w:tr>
    </w:tbl>
    <w:p w:rsidR="009520A9" w:rsidRDefault="009520A9">
      <w:pPr>
        <w:jc w:val="left"/>
      </w:pPr>
    </w:p>
    <w:p w:rsidR="009520A9" w:rsidRDefault="00770482">
      <w:r>
        <w:t xml:space="preserve">Izmjenama i dopunom Zakona o Hrvatskom kvalifikacijskom okviru (NN 20/21) AZVO preuzima značajne nove aktivnosti u pogledu primjene HKO-a u visokom obrazovanju koje znatno proširuju djelokrug rada AZVO-a.   </w:t>
      </w:r>
    </w:p>
    <w:p w:rsidR="009520A9" w:rsidRDefault="00770482">
      <w:r>
        <w:t xml:space="preserve">  </w:t>
      </w:r>
    </w:p>
    <w:p w:rsidR="009520A9" w:rsidRDefault="00770482">
      <w:r>
        <w:t>Nove aktivnosti uključuju podršku sektorskim vijećima, a sredstva su planirana za isplatu naknada članovima i predsjednicima sektorskih vijeća, pokrivanje troškova službenih putovanja članova i predsjednika te ostalih troškova za organizaciju sjednica i os</w:t>
      </w:r>
      <w:r>
        <w:t xml:space="preserve">iguravanje uvjeta za rad navedenih tijela. Također, u okviru tih aktivnosti planira se vrednovanje prijedloga standarada kvalifikacija. Procjena je da će AZVO u narednim godinama zaprimati jako velik broj prijedloga standarada kvalifikacija budući da su u </w:t>
      </w:r>
      <w:r>
        <w:t xml:space="preserve">proteklim godinama ti prijedlozi standarada bili izrađeni u okviru provedenih HKO projekata. Predviđa se da će AZVO na godišnjoj razini zaprimati 100 – 200 prijedloga standarada.  </w:t>
      </w:r>
    </w:p>
    <w:p w:rsidR="009520A9" w:rsidRDefault="00770482">
      <w:r>
        <w:t>Vrednovanje svakoga pojedinog zahtjeva za upis prijedloga standarda kvalifi</w:t>
      </w:r>
      <w:r>
        <w:t>kacije u Registar HKO-a uključivat će najmanje tri recenzenta koji će obaviti stručno vrednovanje. AZVO je dužan isplatiti naknadu za rad recenzentima te osigurati uvjete za rad.</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48"/>
        <w:gridCol w:w="2248"/>
        <w:gridCol w:w="919"/>
        <w:gridCol w:w="919"/>
        <w:gridCol w:w="1115"/>
        <w:gridCol w:w="919"/>
        <w:gridCol w:w="919"/>
        <w:gridCol w:w="919"/>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w:t>
            </w:r>
            <w:r>
              <w:rPr>
                <w:rFonts w:cs="Times New Roman"/>
              </w:rPr>
              <w:t>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održanih sjednica sektorskih vijeća</w:t>
            </w:r>
          </w:p>
        </w:tc>
        <w:tc>
          <w:tcPr>
            <w:tcW w:w="2245" w:type="dxa"/>
            <w:vAlign w:val="top"/>
          </w:tcPr>
          <w:p w:rsidR="009520A9" w:rsidRDefault="00770482">
            <w:pPr>
              <w:pStyle w:val="CellColumn"/>
              <w:jc w:val="left"/>
            </w:pPr>
            <w:r>
              <w:rPr>
                <w:rFonts w:cs="Times New Roman"/>
              </w:rPr>
              <w:t>AZVO pruža podršku sektorskim vijećima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 godišnje izvješće</w:t>
            </w:r>
          </w:p>
        </w:tc>
        <w:tc>
          <w:tcPr>
            <w:tcW w:w="918" w:type="dxa"/>
          </w:tcPr>
          <w:p w:rsidR="009520A9" w:rsidRDefault="00770482">
            <w:pPr>
              <w:jc w:val="center"/>
            </w:pPr>
            <w:r>
              <w:t>11</w:t>
            </w:r>
          </w:p>
        </w:tc>
        <w:tc>
          <w:tcPr>
            <w:tcW w:w="918" w:type="dxa"/>
          </w:tcPr>
          <w:p w:rsidR="009520A9" w:rsidRDefault="00770482">
            <w:pPr>
              <w:jc w:val="center"/>
            </w:pPr>
            <w:r>
              <w:t>11</w:t>
            </w:r>
          </w:p>
        </w:tc>
        <w:tc>
          <w:tcPr>
            <w:tcW w:w="918" w:type="dxa"/>
          </w:tcPr>
          <w:p w:rsidR="009520A9" w:rsidRDefault="00770482">
            <w:pPr>
              <w:jc w:val="center"/>
            </w:pPr>
            <w:r>
              <w:t>11</w:t>
            </w:r>
          </w:p>
        </w:tc>
      </w:tr>
      <w:tr w:rsidR="009520A9">
        <w:trPr>
          <w:jc w:val="center"/>
        </w:trPr>
        <w:tc>
          <w:tcPr>
            <w:tcW w:w="2245" w:type="dxa"/>
            <w:vAlign w:val="top"/>
          </w:tcPr>
          <w:p w:rsidR="009520A9" w:rsidRDefault="00770482">
            <w:pPr>
              <w:pStyle w:val="CellColumn"/>
              <w:jc w:val="left"/>
            </w:pPr>
            <w:r>
              <w:rPr>
                <w:rFonts w:cs="Times New Roman"/>
              </w:rPr>
              <w:t>Broj vrednovanih standarada kvalifikacija</w:t>
            </w:r>
          </w:p>
        </w:tc>
        <w:tc>
          <w:tcPr>
            <w:tcW w:w="2245" w:type="dxa"/>
            <w:vAlign w:val="top"/>
          </w:tcPr>
          <w:p w:rsidR="009520A9" w:rsidRDefault="00770482">
            <w:pPr>
              <w:pStyle w:val="CellColumn"/>
              <w:jc w:val="left"/>
            </w:pPr>
            <w:r>
              <w:rPr>
                <w:rFonts w:cs="Times New Roman"/>
              </w:rPr>
              <w:t>AZVO vrednuje standarde kvalifikacija u visokom obrazovanju</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Upisani standardi kvalifikacija u Registru HKO-a, AZVO godišnje izvješće</w:t>
            </w:r>
          </w:p>
        </w:tc>
        <w:tc>
          <w:tcPr>
            <w:tcW w:w="918" w:type="dxa"/>
          </w:tcPr>
          <w:p w:rsidR="009520A9" w:rsidRDefault="00770482">
            <w:pPr>
              <w:jc w:val="center"/>
            </w:pPr>
            <w:r>
              <w:t>70</w:t>
            </w:r>
          </w:p>
        </w:tc>
        <w:tc>
          <w:tcPr>
            <w:tcW w:w="918" w:type="dxa"/>
          </w:tcPr>
          <w:p w:rsidR="009520A9" w:rsidRDefault="00770482">
            <w:pPr>
              <w:jc w:val="center"/>
            </w:pPr>
            <w:r>
              <w:t>80</w:t>
            </w:r>
          </w:p>
        </w:tc>
        <w:tc>
          <w:tcPr>
            <w:tcW w:w="918" w:type="dxa"/>
          </w:tcPr>
          <w:p w:rsidR="009520A9" w:rsidRDefault="00770482">
            <w:pPr>
              <w:jc w:val="center"/>
            </w:pPr>
            <w:r>
              <w:t>90</w:t>
            </w:r>
          </w:p>
        </w:tc>
      </w:tr>
    </w:tbl>
    <w:p w:rsidR="009520A9" w:rsidRDefault="009520A9">
      <w:pPr>
        <w:jc w:val="left"/>
      </w:pPr>
    </w:p>
    <w:p w:rsidR="009520A9" w:rsidRDefault="00770482">
      <w:pPr>
        <w:pStyle w:val="Heading4"/>
      </w:pPr>
      <w:r>
        <w:t>A867019 DIGITALNA PREOBRAZBA VISOKOG OBRAZOVANJA – e-SVEUČILIŠT</w:t>
      </w:r>
      <w:r>
        <w:t>A - NPOO (C3.1.R2)</w:t>
      </w:r>
    </w:p>
    <w:p w:rsidR="009520A9" w:rsidRDefault="00770482">
      <w:pPr>
        <w:pStyle w:val="Heading8"/>
        <w:jc w:val="left"/>
      </w:pPr>
      <w:r>
        <w:t>Zakonske i druge pravne osnove</w:t>
      </w:r>
    </w:p>
    <w:p w:rsidR="009520A9" w:rsidRDefault="00770482">
      <w:r>
        <w:t>Nacionalni plan oporavka i otpornosti RH 2021. – 2026., Zakon o osiguravanju kvalitete u znanosti i visokom obrazovanju.</w:t>
      </w:r>
    </w:p>
    <w:tbl>
      <w:tblPr>
        <w:tblStyle w:val="StilTablice"/>
        <w:tblW w:w="10206" w:type="dxa"/>
        <w:jc w:val="center"/>
        <w:tblLook w:val="04A0" w:firstRow="1" w:lastRow="0" w:firstColumn="1" w:lastColumn="0" w:noHBand="0" w:noVBand="1"/>
      </w:tblPr>
      <w:tblGrid>
        <w:gridCol w:w="1476"/>
        <w:gridCol w:w="1563"/>
        <w:gridCol w:w="1556"/>
        <w:gridCol w:w="1547"/>
        <w:gridCol w:w="1556"/>
        <w:gridCol w:w="1538"/>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A867019</w:t>
            </w:r>
          </w:p>
        </w:tc>
        <w:tc>
          <w:tcPr>
            <w:tcW w:w="1632" w:type="dxa"/>
            <w:vAlign w:val="top"/>
          </w:tcPr>
          <w:p w:rsidR="009520A9" w:rsidRDefault="00770482">
            <w:pPr>
              <w:jc w:val="right"/>
            </w:pPr>
            <w:r>
              <w:t>00</w:t>
            </w:r>
          </w:p>
        </w:tc>
        <w:tc>
          <w:tcPr>
            <w:tcW w:w="1632" w:type="dxa"/>
            <w:vAlign w:val="top"/>
          </w:tcPr>
          <w:p w:rsidR="009520A9" w:rsidRDefault="00770482">
            <w:pPr>
              <w:jc w:val="right"/>
            </w:pPr>
            <w:r>
              <w:t>113.017</w:t>
            </w:r>
          </w:p>
        </w:tc>
        <w:tc>
          <w:tcPr>
            <w:tcW w:w="1632" w:type="dxa"/>
            <w:vAlign w:val="top"/>
          </w:tcPr>
          <w:p w:rsidR="009520A9" w:rsidRDefault="00770482">
            <w:pPr>
              <w:jc w:val="right"/>
            </w:pPr>
            <w:r>
              <w:t>72.370</w:t>
            </w:r>
          </w:p>
        </w:tc>
        <w:tc>
          <w:tcPr>
            <w:tcW w:w="1632" w:type="dxa"/>
            <w:vAlign w:val="top"/>
          </w:tcPr>
          <w:p w:rsidR="009520A9" w:rsidRDefault="00770482">
            <w:pPr>
              <w:jc w:val="right"/>
            </w:pPr>
            <w:r>
              <w:t>160.551</w:t>
            </w:r>
          </w:p>
        </w:tc>
        <w:tc>
          <w:tcPr>
            <w:tcW w:w="1632" w:type="dxa"/>
            <w:vAlign w:val="top"/>
          </w:tcPr>
          <w:p w:rsidR="009520A9" w:rsidRDefault="00770482">
            <w:pPr>
              <w:jc w:val="right"/>
            </w:pPr>
            <w:r>
              <w:t>00</w:t>
            </w:r>
          </w:p>
        </w:tc>
        <w:tc>
          <w:tcPr>
            <w:tcW w:w="510" w:type="dxa"/>
            <w:vAlign w:val="top"/>
          </w:tcPr>
          <w:p w:rsidR="009520A9" w:rsidRDefault="00770482">
            <w:pPr>
              <w:jc w:val="right"/>
            </w:pPr>
            <w:r>
              <w:t>64,0</w:t>
            </w:r>
          </w:p>
        </w:tc>
      </w:tr>
    </w:tbl>
    <w:p w:rsidR="009520A9" w:rsidRDefault="009520A9">
      <w:pPr>
        <w:jc w:val="left"/>
      </w:pPr>
    </w:p>
    <w:p w:rsidR="009520A9" w:rsidRDefault="00770482">
      <w:r>
        <w:t>Cilj projekta je unaprjeđenje kvalitete i dostupnosti visokih učilišta, na cijelom području RH, osnaživanjem fleksibilnosti i inovativnosti tercijarnog sektora obrazovanja, kroz podršku učinkovitoj digitalnoj preobrazbi i povećanju digitalne zrelosti, foku</w:t>
      </w:r>
      <w:r>
        <w:t xml:space="preserve">siranim ulaganjima prema krajnjim korisnicima, javnim obrazovnim ustanovama u visokom obrazovanju, visokim učilištima i povezanim ciljanim skupinama.  </w:t>
      </w:r>
    </w:p>
    <w:p w:rsidR="009520A9" w:rsidRDefault="00770482">
      <w:r>
        <w:t>Posebni ciljevi projekta su: unaprjeđenje infrastrukture i repozitorija digitalnih sadržaja, izrada serv</w:t>
      </w:r>
      <w:r>
        <w:t xml:space="preserve">isa poput aplikacija i alata podrške, obrazovanje korisnika (predstavnika visokih učilišta) te provedba vrednovanja digitalne zrelosti visokih učilišta.  </w:t>
      </w:r>
    </w:p>
    <w:p w:rsidR="009520A9" w:rsidRDefault="00770482">
      <w:r>
        <w:t>Nositelj projekta je Hrvatska akademska i istraživačka mreža – CARNET, a partneri Sveučilišni računsk</w:t>
      </w:r>
      <w:r>
        <w:t xml:space="preserve">i centar SRCE, Nacionalna i sveučilišna knjižnica i AZVO.  </w:t>
      </w:r>
    </w:p>
    <w:p w:rsidR="009520A9" w:rsidRDefault="00770482">
      <w:r>
        <w:t xml:space="preserve">Projekt traje od ožujka 2022. do kraja prosinaca 2025.  </w:t>
      </w:r>
    </w:p>
    <w:p w:rsidR="009520A9" w:rsidRDefault="00770482">
      <w:r>
        <w:t>U okviru projekta, AZVO je zadužen za provedbu vrednovanja digitalne zrelosti na 10 % visokih učilišta uključenih u projekt za što je plani</w:t>
      </w:r>
      <w:r>
        <w:t>rano 88.181 euro u posljednjoj godini provedbe projekta. Nadalje, AZVO će sudjelovati u aktivnostima istraživanja (koordinacija istraživanja studijskih programa radi utvrđivanja zastupljenosti razvoja digitalnih kompetencija studenata i sudjelovanje u kvan</w:t>
      </w:r>
      <w:r>
        <w:t xml:space="preserve">titativnom istraživanju o primjeni digitalne tehnologije u visokom obrazovanju) te u izradi modularnog programa obrazovanja visokoškolskih nastavnika za primjenu IKT-a u nastavi. Za provedbu navedenih aktivnosti potraživat će se trošak plaća zaposlenika u </w:t>
      </w:r>
      <w:r>
        <w:t>određenom postotku do 30 %.</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provedenih vrednovanja digitalne zrelosti visokih učilišta</w:t>
            </w:r>
          </w:p>
        </w:tc>
        <w:tc>
          <w:tcPr>
            <w:tcW w:w="2245" w:type="dxa"/>
            <w:vAlign w:val="top"/>
          </w:tcPr>
          <w:p w:rsidR="009520A9" w:rsidRDefault="00770482">
            <w:pPr>
              <w:pStyle w:val="CellColumn"/>
              <w:jc w:val="left"/>
            </w:pPr>
            <w:r>
              <w:rPr>
                <w:rFonts w:cs="Times New Roman"/>
              </w:rPr>
              <w:t>Broj provedenih vrednovanja digitalne zrelosti visokih učilišta</w:t>
            </w:r>
          </w:p>
        </w:tc>
        <w:tc>
          <w:tcPr>
            <w:tcW w:w="918" w:type="dxa"/>
          </w:tcPr>
          <w:p w:rsidR="009520A9" w:rsidRDefault="00770482">
            <w:pPr>
              <w:jc w:val="center"/>
            </w:pPr>
            <w:r>
              <w:t>%</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0</w:t>
            </w:r>
          </w:p>
        </w:tc>
        <w:tc>
          <w:tcPr>
            <w:tcW w:w="918" w:type="dxa"/>
          </w:tcPr>
          <w:p w:rsidR="009520A9" w:rsidRDefault="00770482">
            <w:pPr>
              <w:jc w:val="center"/>
            </w:pPr>
            <w:r>
              <w:t>10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Provedeno istraživanje studijskih programa radi utvrđivanja zastupljenosti razvoja digitalnih kompetencija studenata</w:t>
            </w:r>
          </w:p>
        </w:tc>
        <w:tc>
          <w:tcPr>
            <w:tcW w:w="2245" w:type="dxa"/>
            <w:vAlign w:val="top"/>
          </w:tcPr>
          <w:p w:rsidR="009520A9" w:rsidRDefault="00770482">
            <w:pPr>
              <w:pStyle w:val="CellColumn"/>
              <w:jc w:val="left"/>
            </w:pPr>
            <w:r>
              <w:rPr>
                <w:rFonts w:cs="Times New Roman"/>
              </w:rPr>
              <w:t>Istraživanje obuhvaća pregled stanja na 10 % visokih učilišta koja sudjeluju u projektu</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bl>
    <w:p w:rsidR="009520A9" w:rsidRDefault="009520A9">
      <w:pPr>
        <w:jc w:val="left"/>
      </w:pPr>
    </w:p>
    <w:p w:rsidR="009520A9" w:rsidRDefault="00770482">
      <w:pPr>
        <w:pStyle w:val="Heading4"/>
      </w:pPr>
      <w:r>
        <w:t>A867021 ERASMUS PLUS - PROJEKTI</w:t>
      </w:r>
    </w:p>
    <w:p w:rsidR="009520A9" w:rsidRDefault="00770482">
      <w:pPr>
        <w:pStyle w:val="Heading8"/>
        <w:jc w:val="left"/>
      </w:pPr>
      <w:r>
        <w:t>Zakonske i druge pravne osnove</w:t>
      </w:r>
    </w:p>
    <w:p w:rsidR="009520A9" w:rsidRDefault="00770482">
      <w:r>
        <w:t xml:space="preserve">Zakon o osiguravanju kvalitete u znanosti i visokom obrazovanju </w:t>
      </w:r>
    </w:p>
    <w:p w:rsidR="009520A9" w:rsidRDefault="00770482">
      <w:r>
        <w:t xml:space="preserve">ERASMUS+ program Europske unije u kojem RH ravnopravno sudjeluje kao članica EU-a. Broj ugovora: 619645-EPP-1-2020-1-LV-EPPKA3-NARIC </w:t>
      </w:r>
    </w:p>
    <w:p w:rsidR="009520A9" w:rsidRDefault="00770482">
      <w:r>
        <w:t>ERASMUS+ program Europske</w:t>
      </w:r>
      <w:r>
        <w:t xml:space="preserve"> unije u kojem RH ravnopravno sudjeluje kao članica EU-a. Broj ugovora: 619640-EPP-1-2020-1-IT-EPPKA3-NARIC </w:t>
      </w:r>
    </w:p>
    <w:p w:rsidR="009520A9" w:rsidRDefault="00770482">
      <w:r>
        <w:t xml:space="preserve">ERASMUS+ program Europske unije u kojem RH ravnopravno sudjeluje kao članica EU-a. Broj ugovora: 101101663 – MAReN – ERASMUS-EDU-2022-NARIC-IBA </w:t>
      </w:r>
    </w:p>
    <w:p w:rsidR="009520A9" w:rsidRDefault="00770482">
      <w:r>
        <w:t>ER</w:t>
      </w:r>
      <w:r>
        <w:t>ASMUS+ program Europske unije u kojem RH ravnopravno sudjeluje kao članica EU-a. Broj ugovora: 101101701 – ERASMUS-EDU-2022-NARIC-IBA</w:t>
      </w:r>
    </w:p>
    <w:tbl>
      <w:tblPr>
        <w:tblStyle w:val="StilTablice"/>
        <w:tblW w:w="10206" w:type="dxa"/>
        <w:jc w:val="center"/>
        <w:tblLook w:val="04A0" w:firstRow="1" w:lastRow="0" w:firstColumn="1" w:lastColumn="0" w:noHBand="0" w:noVBand="1"/>
      </w:tblPr>
      <w:tblGrid>
        <w:gridCol w:w="1480"/>
        <w:gridCol w:w="1568"/>
        <w:gridCol w:w="1553"/>
        <w:gridCol w:w="1545"/>
        <w:gridCol w:w="1545"/>
        <w:gridCol w:w="154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A867021</w:t>
            </w:r>
          </w:p>
        </w:tc>
        <w:tc>
          <w:tcPr>
            <w:tcW w:w="1632" w:type="dxa"/>
            <w:vAlign w:val="top"/>
          </w:tcPr>
          <w:p w:rsidR="009520A9" w:rsidRDefault="00770482">
            <w:pPr>
              <w:jc w:val="right"/>
            </w:pPr>
            <w:r>
              <w:t>00</w:t>
            </w:r>
          </w:p>
        </w:tc>
        <w:tc>
          <w:tcPr>
            <w:tcW w:w="1632" w:type="dxa"/>
            <w:vAlign w:val="top"/>
          </w:tcPr>
          <w:p w:rsidR="009520A9" w:rsidRDefault="00770482">
            <w:pPr>
              <w:jc w:val="right"/>
            </w:pPr>
            <w:r>
              <w:t>26.187</w:t>
            </w:r>
          </w:p>
        </w:tc>
        <w:tc>
          <w:tcPr>
            <w:tcW w:w="1632" w:type="dxa"/>
            <w:vAlign w:val="top"/>
          </w:tcPr>
          <w:p w:rsidR="009520A9" w:rsidRDefault="00770482">
            <w:pPr>
              <w:jc w:val="right"/>
            </w:pPr>
            <w:r>
              <w:t>6.540</w:t>
            </w:r>
          </w:p>
        </w:tc>
        <w:tc>
          <w:tcPr>
            <w:tcW w:w="1632" w:type="dxa"/>
            <w:vAlign w:val="top"/>
          </w:tcPr>
          <w:p w:rsidR="009520A9" w:rsidRDefault="00770482">
            <w:pPr>
              <w:jc w:val="right"/>
            </w:pPr>
            <w:r>
              <w:t>5.278</w:t>
            </w:r>
          </w:p>
        </w:tc>
        <w:tc>
          <w:tcPr>
            <w:tcW w:w="1632" w:type="dxa"/>
            <w:vAlign w:val="top"/>
          </w:tcPr>
          <w:p w:rsidR="009520A9" w:rsidRDefault="00770482">
            <w:pPr>
              <w:jc w:val="right"/>
            </w:pPr>
            <w:r>
              <w:t>3.914</w:t>
            </w:r>
          </w:p>
        </w:tc>
        <w:tc>
          <w:tcPr>
            <w:tcW w:w="510" w:type="dxa"/>
            <w:vAlign w:val="top"/>
          </w:tcPr>
          <w:p w:rsidR="009520A9" w:rsidRDefault="00770482">
            <w:pPr>
              <w:jc w:val="right"/>
            </w:pPr>
            <w:r>
              <w:t>25,0</w:t>
            </w:r>
          </w:p>
        </w:tc>
      </w:tr>
    </w:tbl>
    <w:p w:rsidR="009520A9" w:rsidRDefault="009520A9">
      <w:pPr>
        <w:jc w:val="left"/>
      </w:pPr>
    </w:p>
    <w:p w:rsidR="009520A9" w:rsidRDefault="00770482">
      <w:r>
        <w:t>Glavni cilj projekta MAReN: Mediterranean Automatic Recognition Network je podržati i potaknuti postizanje ciljeva Europskog obrazovnog prostora, posebice provedbu Preporuke Vijeća Europske unije o promicanju automatskog priznavanja visokoškolskih i srednj</w:t>
      </w:r>
      <w:r>
        <w:t>oškolskih kvalifikacija te ishoda razdoblja učenja provedenog u inozemstvu. Opseg projekta MAReN uključuje poticanje automatskog priznavanja u mediteranskoj regiji, počevši od zemalja partnera projekta, stvaranjem mreže ENIC i NARIC centara koji rade na au</w:t>
      </w:r>
      <w:r>
        <w:t>tomatskom priznavanju u mediteranskoj regiji; razvoj alata za podršku svakodnevnom radu ocjenjivača mikro-vjerodajnica; uspostavljanje sinergije s drugim inicijativama vezanim uz automatsko prepoznavanje u drugim regijama, osobito onim razvijenim u Adriati</w:t>
      </w:r>
      <w:r>
        <w:t xml:space="preserve">c regiji u okviru ERASMUS+ projekta AdReN. </w:t>
      </w:r>
    </w:p>
    <w:p w:rsidR="009520A9" w:rsidRDefault="00770482">
      <w:r>
        <w:t>Za potrebe koordinacije aktivnosti MAReN-a, bit će na Sveučilištu Federico II u Napulju uspostavljeno tajništvo čijim će se radom jamčiti održivost Mreže i nakon trajanja projekta. Svi rezultati projekta bit će d</w:t>
      </w:r>
      <w:r>
        <w:t xml:space="preserve">ostupni na internetskoj stranici MAReN-a koja će biti alat dostupan svim relevantnim dionicima. </w:t>
      </w:r>
    </w:p>
    <w:p w:rsidR="009520A9" w:rsidRDefault="00770482">
      <w:r>
        <w:t>Očekivani učinak koji se želi ostvariti projektom je uspostava automatskog priznavanja kvalifikacija među zemljama mediteranske regije kroz razvoj alata, poput</w:t>
      </w:r>
      <w:r>
        <w:t xml:space="preserve"> usporedne tablice, koji su namijenjeni visokim učilištima i drugim dionicima. Drugi važan aspekt ovog projekta je jačanje suradnje među NARIC centrima mediteranske regije te, zahvaljujući njihovom angažmanu, i među ministarstvima nadležnim za visoko obraz</w:t>
      </w:r>
      <w:r>
        <w:t xml:space="preserve">ovanje partnerskih zemalja, što će biti olakšano uspostavom tajništva Mreže. </w:t>
      </w:r>
    </w:p>
    <w:p w:rsidR="009520A9" w:rsidRDefault="00770482">
      <w:r>
        <w:t xml:space="preserve">Poziv: ERASMUS-EDU-2022-NARIC-IBA </w:t>
      </w:r>
    </w:p>
    <w:p w:rsidR="009520A9" w:rsidRDefault="00770482">
      <w:r>
        <w:t xml:space="preserve">Koordinator projekta: ASSOCIAZIONE CIMEA (CIMEA), Italija </w:t>
      </w:r>
    </w:p>
    <w:p w:rsidR="009520A9" w:rsidRDefault="00770482">
      <w:r>
        <w:t xml:space="preserve">Projektni partneri: AGENCIJA ZA ZNANOST I VISOKO OBRAZOVANJE (AZVO), Hrvatska; FRANCE EDUCATION INTERNATIONAL (FEI), Francuska; MINISTERIO DA EDUCACAO E CIENCIA (MEC), Portugal; MINISTERIO DE UNIVERSIDADES (MUNI), Španjolska. </w:t>
      </w:r>
    </w:p>
    <w:p w:rsidR="009520A9" w:rsidRDefault="00770482">
      <w:r>
        <w:t>Trajanje projekta: travanj 20</w:t>
      </w:r>
      <w:r>
        <w:t xml:space="preserve">23. godine – travanj 2025. godine. </w:t>
      </w:r>
    </w:p>
    <w:p w:rsidR="009520A9" w:rsidRDefault="00770482">
      <w:r>
        <w:t>Projekt pod nazivom Automatic Recognition in the EEA, 2025 (AR25) – Automatsko priznavanje u Europskom gospodarskom prostoru, 2025. (AR25), financiran sredstvima ERASMUS+ programa Europske unije ima za cilj podržati prov</w:t>
      </w:r>
      <w:r>
        <w:t>edbu Preporuke Vijeća Europske unije o automatskom priznavanju i osigurati automatsko priznavanje razina inozemnih kvalifikacija do 2025. godine i to usklađivanjem institucionalnih postupaka priznavanja s načelima Lisabonske konvencije o uzajamnom priznava</w:t>
      </w:r>
      <w:r>
        <w:t>nju (LRC), zatim promicanjem Spotlight alata za samovrednovanje i pružanjem podrške budućem radu na priznavanju razdoblja studija u višem srednjem obrazovanju putem mapiranja nacionalnih praksi u priznavanju. Također, cilj projekta je identificirati izazov</w:t>
      </w:r>
      <w:r>
        <w:t>e i područja za poboljšanje te raditi na izgradnji kapaciteta na visokim učilištima nužnih za provedbu vrednovanja mikro-vjerodajnica (microcredentials), uključujući automatsko prepoznavanje, kao i ažuriranje postojeće STACQ aplikacije i EAR – HEI priručni</w:t>
      </w:r>
      <w:r>
        <w:t xml:space="preserve">ka, a kako bise racionalizirala praksa vrednovanja/prepoznavanja. </w:t>
      </w:r>
    </w:p>
    <w:p w:rsidR="009520A9" w:rsidRDefault="00770482">
      <w:r>
        <w:t>Ciljne skupine su: visoka učilišta, ENIC i NARIC centri, dionici u priznavanje na području Europskog prostora visokog obrazovanja (EHEA) i EEA (agencije za osiguravanje kvalitete, rektorske</w:t>
      </w:r>
      <w:r>
        <w:t xml:space="preserve"> konferencije itd.), dionici koji se bave poticanjem akademske i radne mobilnosti u višem srednjoškolskom obrazovanju obrazovanje. </w:t>
      </w:r>
    </w:p>
    <w:p w:rsidR="009520A9" w:rsidRDefault="00770482">
      <w:r>
        <w:t xml:space="preserve">Koordinator projekta je nizozemski ENIC/NARIC ured (NUFFIC) </w:t>
      </w:r>
    </w:p>
    <w:p w:rsidR="009520A9" w:rsidRDefault="00770482">
      <w:r>
        <w:t>Partneri na projektu su: BUNDESMINISTERIUM FUER BILDUNG, WISSEN</w:t>
      </w:r>
      <w:r>
        <w:t xml:space="preserve">SCHAFT UND FORSCHUNG </w:t>
      </w:r>
    </w:p>
    <w:p w:rsidR="009520A9" w:rsidRDefault="00770482">
      <w:r>
        <w:t>(BMBWF), Austrija; AGENCIJA ZA ZNANOST I VISOKO OBRAZOVANJE (AZVO), Hrvatska; UDDANNELSES- OG FORSKNINGSSTYRELSEN (DANISH AGENCY), Danska; EDUCATION AND YOUTH BOARD (Edu Youth Board), Estonija; FRANCE EDUCATION INTERNATIONAL (FEI), Fr</w:t>
      </w:r>
      <w:r>
        <w:t xml:space="preserve">ancuska; UDARAS NA HEIREANN UM CHAILIOCHTAIAGUS DEARBHU CAILIOCHTA (QQI), Irska; ASSOCIAZIONE CIMEA (CIMEA), Italija; </w:t>
      </w:r>
    </w:p>
    <w:p w:rsidR="009520A9" w:rsidRDefault="00770482">
      <w:r>
        <w:t>STUDIJU KOKYBES VERTINIMO CENTRAS (SKVC), PIC 989821563, Litva; MALTA FURTHER AND HIGHER EDUCATIONAUTHORITY (MFHEA), Malta; NASJONALT ORG</w:t>
      </w:r>
      <w:r>
        <w:t xml:space="preserve">AN FOR KVALITET I UTDANNINGEN NOKUT (NOKUT), Norveška; NARODOWA AGENCJA WYMIANY AKADEMICKIEJ (NAWA), Poljska; UNIVERSITETS- OCH HOGSKOLERADET (UHS), Švedska. </w:t>
      </w:r>
    </w:p>
    <w:p w:rsidR="009520A9" w:rsidRDefault="00770482">
      <w:r>
        <w:t>Trajanje projekta: travanj 2023. godine – travanj 2025. godine.</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48"/>
        <w:gridCol w:w="2248"/>
        <w:gridCol w:w="919"/>
        <w:gridCol w:w="919"/>
        <w:gridCol w:w="1115"/>
        <w:gridCol w:w="919"/>
        <w:gridCol w:w="919"/>
        <w:gridCol w:w="919"/>
      </w:tblGrid>
      <w:tr w:rsidR="009520A9">
        <w:trPr>
          <w:jc w:val="center"/>
        </w:trPr>
        <w:tc>
          <w:tcPr>
            <w:tcW w:w="2245" w:type="dxa"/>
            <w:shd w:val="clear" w:color="auto" w:fill="B5C0D8"/>
          </w:tcPr>
          <w:p w:rsidR="009520A9" w:rsidRDefault="00770482">
            <w:pPr>
              <w:jc w:val="center"/>
            </w:pPr>
            <w:r>
              <w:t xml:space="preserve">Pokazatelj </w:t>
            </w:r>
            <w:r>
              <w:t>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Publikacije i izrađena internetska stranica MAReN projekta</w:t>
            </w:r>
          </w:p>
        </w:tc>
        <w:tc>
          <w:tcPr>
            <w:tcW w:w="2245" w:type="dxa"/>
            <w:vAlign w:val="top"/>
          </w:tcPr>
          <w:p w:rsidR="009520A9" w:rsidRDefault="00770482">
            <w:pPr>
              <w:pStyle w:val="CellColumn"/>
              <w:jc w:val="left"/>
            </w:pPr>
            <w:r>
              <w:rPr>
                <w:rFonts w:cs="Times New Roman"/>
              </w:rPr>
              <w:t>Cilj projekta je uspostava automatskog priznavanja inozemnih kvalifikacija među zemljama mediteranske regije kroz razvoj alata, poput usporedne tablice, koji su namijenjeni visokim učilištima i drugim dionicima.</w:t>
            </w:r>
          </w:p>
        </w:tc>
        <w:tc>
          <w:tcPr>
            <w:tcW w:w="918" w:type="dxa"/>
          </w:tcPr>
          <w:p w:rsidR="009520A9" w:rsidRDefault="00770482">
            <w:pPr>
              <w:jc w:val="center"/>
            </w:pPr>
            <w:r>
              <w:t>3</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CIMEA (koordinator projekta) i AZVO</w:t>
            </w:r>
          </w:p>
        </w:tc>
        <w:tc>
          <w:tcPr>
            <w:tcW w:w="918" w:type="dxa"/>
          </w:tcPr>
          <w:p w:rsidR="009520A9" w:rsidRDefault="00770482">
            <w:pPr>
              <w:jc w:val="center"/>
            </w:pPr>
            <w:r>
              <w:t>2</w:t>
            </w:r>
          </w:p>
        </w:tc>
        <w:tc>
          <w:tcPr>
            <w:tcW w:w="918" w:type="dxa"/>
          </w:tcPr>
          <w:p w:rsidR="009520A9" w:rsidRDefault="00770482">
            <w:pPr>
              <w:jc w:val="center"/>
            </w:pPr>
            <w:r>
              <w:t>1</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Publikacija</w:t>
            </w:r>
          </w:p>
        </w:tc>
        <w:tc>
          <w:tcPr>
            <w:tcW w:w="2245" w:type="dxa"/>
            <w:vAlign w:val="top"/>
          </w:tcPr>
          <w:p w:rsidR="009520A9" w:rsidRDefault="00770482">
            <w:pPr>
              <w:pStyle w:val="CellColumn"/>
              <w:jc w:val="left"/>
            </w:pPr>
            <w:r>
              <w:rPr>
                <w:rFonts w:cs="Times New Roman"/>
              </w:rPr>
              <w:t>Micro credential evaluator – alat za vrednovanje mikro-vjerodajnica, ažuriranje tablice EHEA kvalifikacija i izvješća o automatskom priznavanju</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NUFFIC (koordinator projekta) i AZVO</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bl>
    <w:p w:rsidR="009520A9" w:rsidRDefault="009520A9">
      <w:pPr>
        <w:jc w:val="left"/>
      </w:pPr>
    </w:p>
    <w:p w:rsidR="009520A9" w:rsidRDefault="00770482">
      <w:pPr>
        <w:pStyle w:val="Heading4"/>
      </w:pPr>
      <w:r>
        <w:t>K621178 OPREMANJE I UREĐENJE AGENCIJE ZA ZNANOST</w:t>
      </w:r>
      <w:r>
        <w:t xml:space="preserve"> I VISOKO OBRAZOVANJE</w:t>
      </w:r>
    </w:p>
    <w:p w:rsidR="009520A9" w:rsidRDefault="00770482">
      <w:pPr>
        <w:pStyle w:val="Heading8"/>
        <w:jc w:val="left"/>
      </w:pPr>
      <w:r>
        <w:t>Zakonske i druge pravne osnove</w:t>
      </w:r>
    </w:p>
    <w:p w:rsidR="009520A9" w:rsidRDefault="00770482">
      <w:r>
        <w:t>Zakon o osiguravanju kvalitete u znanosti i visokom obrazovanju</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K621178</w:t>
            </w:r>
          </w:p>
        </w:tc>
        <w:tc>
          <w:tcPr>
            <w:tcW w:w="1632" w:type="dxa"/>
            <w:vAlign w:val="top"/>
          </w:tcPr>
          <w:p w:rsidR="009520A9" w:rsidRDefault="00770482">
            <w:pPr>
              <w:jc w:val="right"/>
            </w:pPr>
            <w:r>
              <w:t>74.203</w:t>
            </w:r>
          </w:p>
        </w:tc>
        <w:tc>
          <w:tcPr>
            <w:tcW w:w="1632" w:type="dxa"/>
            <w:vAlign w:val="top"/>
          </w:tcPr>
          <w:p w:rsidR="009520A9" w:rsidRDefault="00770482">
            <w:pPr>
              <w:jc w:val="right"/>
            </w:pPr>
            <w:r>
              <w:t>77.749</w:t>
            </w:r>
          </w:p>
        </w:tc>
        <w:tc>
          <w:tcPr>
            <w:tcW w:w="1632" w:type="dxa"/>
            <w:vAlign w:val="top"/>
          </w:tcPr>
          <w:p w:rsidR="009520A9" w:rsidRDefault="00770482">
            <w:pPr>
              <w:jc w:val="right"/>
            </w:pPr>
            <w:r>
              <w:t>85.340</w:t>
            </w:r>
          </w:p>
        </w:tc>
        <w:tc>
          <w:tcPr>
            <w:tcW w:w="1632" w:type="dxa"/>
            <w:vAlign w:val="top"/>
          </w:tcPr>
          <w:p w:rsidR="009520A9" w:rsidRDefault="00770482">
            <w:pPr>
              <w:jc w:val="right"/>
            </w:pPr>
            <w:r>
              <w:t>85.830</w:t>
            </w:r>
          </w:p>
        </w:tc>
        <w:tc>
          <w:tcPr>
            <w:tcW w:w="1632" w:type="dxa"/>
            <w:vAlign w:val="top"/>
          </w:tcPr>
          <w:p w:rsidR="009520A9" w:rsidRDefault="00770482">
            <w:pPr>
              <w:jc w:val="right"/>
            </w:pPr>
            <w:r>
              <w:t>85.830</w:t>
            </w:r>
          </w:p>
        </w:tc>
        <w:tc>
          <w:tcPr>
            <w:tcW w:w="510" w:type="dxa"/>
            <w:vAlign w:val="top"/>
          </w:tcPr>
          <w:p w:rsidR="009520A9" w:rsidRDefault="00770482">
            <w:pPr>
              <w:jc w:val="right"/>
            </w:pPr>
            <w:r>
              <w:t>109,8</w:t>
            </w:r>
          </w:p>
        </w:tc>
      </w:tr>
    </w:tbl>
    <w:p w:rsidR="009520A9" w:rsidRDefault="009520A9">
      <w:pPr>
        <w:jc w:val="left"/>
      </w:pPr>
    </w:p>
    <w:p w:rsidR="009520A9" w:rsidRDefault="00770482">
      <w:r>
        <w:t xml:space="preserve">Sredstva na aktivnosti  namijenjena su za opremanje i uređenje Agencije za znanost i visoko obrazovanje. Planirana sredstva odnose se na rashode za licence u iznosu od 7.170 eura, rashode za uredsku opremu i namještaj u iznosu od 15.000 eura te rashode za </w:t>
      </w:r>
      <w:r>
        <w:t>ulaganje u računalne programe u iznosu od 27.900 eura. Sredstva namijenjena za računalne usluge odnose se na održavanja i kontinuiranu podršku korisnicima informacijskog sustava MOZVAG2.</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w:t>
            </w:r>
            <w:r>
              <w:rPr>
                <w:rFonts w:cs="Times New Roman"/>
              </w:rPr>
              <w:t>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Osiguran je kontinuirani rad informacijskog sustava i njegovo korištenje u postupcima vanjskih vrednovanja</w:t>
            </w:r>
          </w:p>
        </w:tc>
        <w:tc>
          <w:tcPr>
            <w:tcW w:w="2245" w:type="dxa"/>
            <w:vAlign w:val="top"/>
          </w:tcPr>
          <w:p w:rsidR="009520A9" w:rsidRDefault="00770482">
            <w:pPr>
              <w:pStyle w:val="CellColumn"/>
              <w:jc w:val="left"/>
            </w:pPr>
            <w:r>
              <w:rPr>
                <w:rFonts w:cs="Times New Roman"/>
              </w:rPr>
              <w:t>MOZVAG2 je informacijski sustav koji se koristi za prikupljanje i obradu podataka svih visokih učilišta u postupcima vanjskih vrednovanja.</w:t>
            </w:r>
          </w:p>
        </w:tc>
        <w:tc>
          <w:tcPr>
            <w:tcW w:w="918" w:type="dxa"/>
          </w:tcPr>
          <w:p w:rsidR="009520A9" w:rsidRDefault="00770482">
            <w:pPr>
              <w:jc w:val="center"/>
            </w:pPr>
            <w:r>
              <w:t>%</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100%</w:t>
            </w:r>
          </w:p>
        </w:tc>
        <w:tc>
          <w:tcPr>
            <w:tcW w:w="918" w:type="dxa"/>
          </w:tcPr>
          <w:p w:rsidR="009520A9" w:rsidRDefault="00770482">
            <w:pPr>
              <w:jc w:val="center"/>
            </w:pPr>
            <w:r>
              <w:t>100%</w:t>
            </w:r>
          </w:p>
        </w:tc>
        <w:tc>
          <w:tcPr>
            <w:tcW w:w="918" w:type="dxa"/>
          </w:tcPr>
          <w:p w:rsidR="009520A9" w:rsidRDefault="00770482">
            <w:pPr>
              <w:jc w:val="center"/>
            </w:pPr>
            <w:r>
              <w:t>100%</w:t>
            </w:r>
          </w:p>
        </w:tc>
      </w:tr>
    </w:tbl>
    <w:p w:rsidR="009520A9" w:rsidRDefault="009520A9">
      <w:pPr>
        <w:jc w:val="left"/>
      </w:pPr>
    </w:p>
    <w:p w:rsidR="009520A9" w:rsidRDefault="00770482">
      <w:pPr>
        <w:pStyle w:val="Heading4"/>
      </w:pPr>
      <w:r>
        <w:t>K621194 NACIONALNI INFORMACIJSKI SUSTAV PRIJAVA NA VISOKA UČILIŠTA - NISpVU</w:t>
      </w:r>
    </w:p>
    <w:p w:rsidR="009520A9" w:rsidRDefault="00770482">
      <w:pPr>
        <w:pStyle w:val="Heading8"/>
        <w:jc w:val="left"/>
      </w:pPr>
      <w:r>
        <w:t>Zakonske i druge pravne osnove</w:t>
      </w:r>
    </w:p>
    <w:p w:rsidR="009520A9" w:rsidRDefault="00770482">
      <w:r>
        <w:t>Zakon o osiguravanju kvalitete u visokom obrazovanju i znanosti i Zakona o visokom obrazovanju i znanstvenoj djelatnosti</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K621194</w:t>
            </w:r>
          </w:p>
        </w:tc>
        <w:tc>
          <w:tcPr>
            <w:tcW w:w="1632" w:type="dxa"/>
            <w:vAlign w:val="top"/>
          </w:tcPr>
          <w:p w:rsidR="009520A9" w:rsidRDefault="00770482">
            <w:pPr>
              <w:jc w:val="right"/>
            </w:pPr>
            <w:r>
              <w:t>61.836</w:t>
            </w:r>
          </w:p>
        </w:tc>
        <w:tc>
          <w:tcPr>
            <w:tcW w:w="1632" w:type="dxa"/>
            <w:vAlign w:val="top"/>
          </w:tcPr>
          <w:p w:rsidR="009520A9" w:rsidRDefault="00770482">
            <w:pPr>
              <w:jc w:val="right"/>
            </w:pPr>
            <w:r>
              <w:t>80.895</w:t>
            </w:r>
          </w:p>
        </w:tc>
        <w:tc>
          <w:tcPr>
            <w:tcW w:w="1632" w:type="dxa"/>
            <w:vAlign w:val="top"/>
          </w:tcPr>
          <w:p w:rsidR="009520A9" w:rsidRDefault="00770482">
            <w:pPr>
              <w:jc w:val="right"/>
            </w:pPr>
            <w:r>
              <w:t>80.902</w:t>
            </w:r>
          </w:p>
        </w:tc>
        <w:tc>
          <w:tcPr>
            <w:tcW w:w="1632" w:type="dxa"/>
            <w:vAlign w:val="top"/>
          </w:tcPr>
          <w:p w:rsidR="009520A9" w:rsidRDefault="00770482">
            <w:pPr>
              <w:jc w:val="right"/>
            </w:pPr>
            <w:r>
              <w:t>80.901</w:t>
            </w:r>
          </w:p>
        </w:tc>
        <w:tc>
          <w:tcPr>
            <w:tcW w:w="1632" w:type="dxa"/>
            <w:vAlign w:val="top"/>
          </w:tcPr>
          <w:p w:rsidR="009520A9" w:rsidRDefault="00770482">
            <w:pPr>
              <w:jc w:val="right"/>
            </w:pPr>
            <w:r>
              <w:t>80.901</w:t>
            </w:r>
          </w:p>
        </w:tc>
        <w:tc>
          <w:tcPr>
            <w:tcW w:w="510" w:type="dxa"/>
            <w:vAlign w:val="top"/>
          </w:tcPr>
          <w:p w:rsidR="009520A9" w:rsidRDefault="00770482">
            <w:pPr>
              <w:jc w:val="right"/>
            </w:pPr>
            <w:r>
              <w:t>100,0</w:t>
            </w:r>
          </w:p>
        </w:tc>
      </w:tr>
    </w:tbl>
    <w:p w:rsidR="009520A9" w:rsidRDefault="009520A9">
      <w:pPr>
        <w:jc w:val="left"/>
      </w:pPr>
    </w:p>
    <w:p w:rsidR="009520A9" w:rsidRDefault="00770482">
      <w:r>
        <w:t xml:space="preserve">Sredstva na aktivnosti odnose se na rashode za održavanje računalnih programa u iznosu od 65.102 eura i ulaganje u računalne programe u iznosu od 15.800 eura. Rashodi za ulaganje u računalne programe planirani su </w:t>
      </w:r>
      <w:r>
        <w:t>za isplatu ugovorenih usluga daljnjeg održavanja procesa prijava i upisa na studijske programe, a odnose se na usluge reaktivnog i proaktivnog održavanja Nacionalnoga informacijskog sustava prijava na visoka učilišta (NISpVU) i na ugovorne usluge za održav</w:t>
      </w:r>
      <w:r>
        <w:t>anje i nadogradnju dijela Nacionalnoga informacijskog sustava za prijavu na diplomske studije (NISpDS) koji se odnosi na sinkronizaciju s ISVU sustavom.</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w:t>
            </w:r>
            <w:r>
              <w:rPr>
                <w:rFonts w:cs="Times New Roman"/>
              </w:rPr>
              <w:t>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Informacijski sustavi za prijavu studijskih programa redovno su održavani i korisnici sustava ih koriste bez poteškoća</w:t>
            </w:r>
          </w:p>
        </w:tc>
        <w:tc>
          <w:tcPr>
            <w:tcW w:w="2245" w:type="dxa"/>
            <w:vAlign w:val="top"/>
          </w:tcPr>
          <w:p w:rsidR="009520A9" w:rsidRDefault="00770482">
            <w:pPr>
              <w:pStyle w:val="CellColumn"/>
              <w:jc w:val="left"/>
            </w:pPr>
            <w:r>
              <w:rPr>
                <w:rFonts w:cs="Times New Roman"/>
              </w:rPr>
              <w:t>Održavanje informacijskih sustava AZVO za prijave na prijediplomske, integrirane i diplomske studijske programe</w:t>
            </w:r>
          </w:p>
        </w:tc>
        <w:tc>
          <w:tcPr>
            <w:tcW w:w="918" w:type="dxa"/>
          </w:tcPr>
          <w:p w:rsidR="009520A9" w:rsidRDefault="00770482">
            <w:pPr>
              <w:jc w:val="center"/>
            </w:pPr>
            <w:r>
              <w:t>%</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100%</w:t>
            </w:r>
          </w:p>
        </w:tc>
        <w:tc>
          <w:tcPr>
            <w:tcW w:w="918" w:type="dxa"/>
          </w:tcPr>
          <w:p w:rsidR="009520A9" w:rsidRDefault="00770482">
            <w:pPr>
              <w:jc w:val="center"/>
            </w:pPr>
            <w:r>
              <w:t>100%</w:t>
            </w:r>
          </w:p>
        </w:tc>
        <w:tc>
          <w:tcPr>
            <w:tcW w:w="918" w:type="dxa"/>
          </w:tcPr>
          <w:p w:rsidR="009520A9" w:rsidRDefault="00770482">
            <w:pPr>
              <w:jc w:val="center"/>
            </w:pPr>
            <w:r>
              <w:t>100%</w:t>
            </w:r>
          </w:p>
        </w:tc>
      </w:tr>
    </w:tbl>
    <w:p w:rsidR="009520A9" w:rsidRDefault="009520A9">
      <w:pPr>
        <w:jc w:val="left"/>
      </w:pPr>
    </w:p>
    <w:p w:rsidR="009520A9" w:rsidRDefault="00770482">
      <w:pPr>
        <w:pStyle w:val="Heading4"/>
      </w:pPr>
      <w:r>
        <w:t>K867020 PROGRAM UČINKOVITI LJUDSKI POTENCIJALI 2021.-2027.., PRIORITET 2 - OSIGURAVANJE KVALITETE U VISOKOM OBRAZOVANJU</w:t>
      </w:r>
    </w:p>
    <w:p w:rsidR="009520A9" w:rsidRDefault="00770482">
      <w:pPr>
        <w:pStyle w:val="Heading8"/>
        <w:jc w:val="left"/>
      </w:pPr>
      <w:r>
        <w:t>Zakonske i druge pravne osnove</w:t>
      </w:r>
    </w:p>
    <w:p w:rsidR="009520A9" w:rsidRDefault="00770482">
      <w:r>
        <w:t>Zakon o osiguravanju kvalitete u znanosti i visokom obrazovanju te Zakon o znanstvenoj djelatnosti i viso</w:t>
      </w:r>
      <w:r>
        <w:t>kom obrazovanju.</w:t>
      </w:r>
    </w:p>
    <w:tbl>
      <w:tblPr>
        <w:tblStyle w:val="StilTablice"/>
        <w:tblW w:w="10206" w:type="dxa"/>
        <w:jc w:val="center"/>
        <w:tblLook w:val="04A0" w:firstRow="1" w:lastRow="0" w:firstColumn="1" w:lastColumn="0" w:noHBand="0" w:noVBand="1"/>
      </w:tblPr>
      <w:tblGrid>
        <w:gridCol w:w="1468"/>
        <w:gridCol w:w="1554"/>
        <w:gridCol w:w="1546"/>
        <w:gridCol w:w="1546"/>
        <w:gridCol w:w="1561"/>
        <w:gridCol w:w="156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K867020</w:t>
            </w:r>
          </w:p>
        </w:tc>
        <w:tc>
          <w:tcPr>
            <w:tcW w:w="1632" w:type="dxa"/>
            <w:vAlign w:val="top"/>
          </w:tcPr>
          <w:p w:rsidR="009520A9" w:rsidRDefault="00770482">
            <w:pPr>
              <w:jc w:val="right"/>
            </w:pPr>
            <w:r>
              <w:t>00</w:t>
            </w:r>
          </w:p>
        </w:tc>
        <w:tc>
          <w:tcPr>
            <w:tcW w:w="1632" w:type="dxa"/>
            <w:vAlign w:val="top"/>
          </w:tcPr>
          <w:p w:rsidR="009520A9" w:rsidRDefault="00770482">
            <w:pPr>
              <w:jc w:val="right"/>
            </w:pPr>
            <w:r>
              <w:t>775.260</w:t>
            </w:r>
          </w:p>
        </w:tc>
        <w:tc>
          <w:tcPr>
            <w:tcW w:w="1632" w:type="dxa"/>
            <w:vAlign w:val="top"/>
          </w:tcPr>
          <w:p w:rsidR="009520A9" w:rsidRDefault="00770482">
            <w:pPr>
              <w:jc w:val="right"/>
            </w:pPr>
            <w:r>
              <w:t>912.073</w:t>
            </w:r>
          </w:p>
        </w:tc>
        <w:tc>
          <w:tcPr>
            <w:tcW w:w="1632" w:type="dxa"/>
            <w:vAlign w:val="top"/>
          </w:tcPr>
          <w:p w:rsidR="009520A9" w:rsidRDefault="00770482">
            <w:pPr>
              <w:jc w:val="right"/>
            </w:pPr>
            <w:r>
              <w:t>1.105.798</w:t>
            </w:r>
          </w:p>
        </w:tc>
        <w:tc>
          <w:tcPr>
            <w:tcW w:w="1632" w:type="dxa"/>
            <w:vAlign w:val="top"/>
          </w:tcPr>
          <w:p w:rsidR="009520A9" w:rsidRDefault="00770482">
            <w:pPr>
              <w:jc w:val="right"/>
            </w:pPr>
            <w:r>
              <w:t>1.079.379</w:t>
            </w:r>
          </w:p>
        </w:tc>
        <w:tc>
          <w:tcPr>
            <w:tcW w:w="510" w:type="dxa"/>
            <w:vAlign w:val="top"/>
          </w:tcPr>
          <w:p w:rsidR="009520A9" w:rsidRDefault="00770482">
            <w:pPr>
              <w:jc w:val="right"/>
            </w:pPr>
            <w:r>
              <w:t>117,6</w:t>
            </w:r>
          </w:p>
        </w:tc>
      </w:tr>
    </w:tbl>
    <w:p w:rsidR="009520A9" w:rsidRDefault="009520A9">
      <w:pPr>
        <w:jc w:val="left"/>
      </w:pPr>
    </w:p>
    <w:p w:rsidR="009520A9" w:rsidRDefault="00770482">
      <w:r>
        <w:t xml:space="preserve">Iz izvora financiranja ESF+ u okviru poziva pod nazivom “Osiguravanje kvalitete u visokom obrazovanju u programu” Učinkoviti ljudski potencijali 2021. – 2027. AZVO prema planu za 2024. godinu ima očekivani početak provedbe izravne dodjele.  </w:t>
      </w:r>
    </w:p>
    <w:p w:rsidR="009520A9" w:rsidRDefault="00770482">
      <w:r>
        <w:t>Projekt uključ</w:t>
      </w:r>
      <w:r>
        <w:t xml:space="preserve">uje unaprjeđenje postupaka vanjskog osiguravanja kvalitete u sustavu visokog obrazovanja koje AZVO provodi te povezane razvojne aktivnosti s ciljem unaprjeđenja unutarnjeg sustava osiguravanja kvalitete.   </w:t>
      </w:r>
    </w:p>
    <w:p w:rsidR="009520A9" w:rsidRDefault="00770482">
      <w:r>
        <w:t xml:space="preserve">  </w:t>
      </w:r>
    </w:p>
    <w:p w:rsidR="009520A9" w:rsidRDefault="00770482">
      <w:r>
        <w:t>Projektne aktivnosti se u bitnome odnose na un</w:t>
      </w:r>
      <w:r>
        <w:t>aprjeđenje postupaka osiguravanja kvalitete, što uključuje i izradu pripadajuće dokumentacije koja već tijekom projekta treba postati dijelom nacionalnoga zakonodavnog okvira odnosno internih akata AZVO-a i visokih učilišta. Ugradnja testiranih postupaka u</w:t>
      </w:r>
      <w:r>
        <w:t xml:space="preserve"> propise treba osigurati ne samo status AZVO-a kao nacionalnog tijela nego i savjetovanje s javnošću predviđeno za svaku pojedinu inovaciju, popraćenu promidžbenim i informativnim aktivnostima, kao i velik broj osoba uključenih u pokusne provedbe. I aktivn</w:t>
      </w:r>
      <w:r>
        <w:t xml:space="preserve">osti anketiranja, prikupljanja podataka i informiranja javnosti koje će provesti unutar projekta predviđene su kao dio redovite djelatnosti AZVO-a te će se nastaviti provoditi i nakon projekta. Sve te aktivnosti će kao i dosad biti financirane iz državnog </w:t>
      </w:r>
      <w:r>
        <w:t>proračuna, odnosno iz novih projekata kad je riječ o njihovom daljnjem razvijanju i unaprjeđivanju. Nakon projekta bi AZVO-u trebao ostati i cjelovit interni računalni sustav koji u potpunosti održava i administrira sam AZVO, što će sustav učiniti prilagod</w:t>
      </w:r>
      <w:r>
        <w:t>ljivim budućim potrebama i neovisnim od vanjskih ponuditelja usluga. Svi sustavi se razvijaju u suradnji s Ministarstvom znanosti i obrazovanja i povezanim ustanovama (trenutno CARNET, SRCE) čime se unaprijed osigurava kompatibilnost sa svim sustavima u hr</w:t>
      </w:r>
      <w:r>
        <w:t>vatskom visokom obrazovanju, a postoji i poveznica na europske baze koja će se i dalje održavati. Edukacijske aktivnosti unutar projekta namijenjene zaposlenicima AZVO-a su zamišljene kao 'trening trenera' – sve naučeno će biti osposobljeni prenijeti pripa</w:t>
      </w:r>
      <w:r>
        <w:t>dnicima ciljnih skupina na budućim edukacijama. Projekt će ujedno proizvesti niz smjernica, uputa i edukativnih materijala koji će i nakon projekta biti dostupni svim zainteresiranima putem mrežne stranice AZVO-a te projekta. Svi će pripadnici ciljnih skup</w:t>
      </w:r>
      <w:r>
        <w:t>ina, također, na kraju projekta imati na raspolaganju bazu znanja (prezentacija, studija, izvješća) te opsežne podatke na razini institucija, programa i nacionalnoj razini koji će poslužiti za donošenje boljih strateških i kolektivnih odluka te individualn</w:t>
      </w:r>
      <w:r>
        <w:t xml:space="preserve">ih i skupnih odluka.  </w:t>
      </w:r>
    </w:p>
    <w:p w:rsidR="009520A9" w:rsidRDefault="00770482">
      <w:r>
        <w:t>U 2024. godini planiraju se sredstva u iznosu od 92.906 eura za provedbu vanjskih vrednovanja visokog obrazovanja te niza edukativnih aktivnosti za visoka učilišta. Planirana sredstva obuhvaćaju: naknade članovima stručnih povjerenst</w:t>
      </w:r>
      <w:r>
        <w:t>ava u postupcima vrednovanja, naknade za predavače na edukacijama AZVO-a, konferencijama i radionicama za djelatnike visokih učilišta i studente, voditelje fokus grupa, troškove za razvoj i unaprjeđenje postupaka vanjskih vrednovanja, recenzije analiza i p</w:t>
      </w:r>
      <w:r>
        <w:t>ublikacija; putne troškove za predavače, usluge moderatora i fotografa na konferencijama; troškove izrade analiza i publikacija AZVO-a. Planiraju se troškovi u iznosu od 39.817 eura koji uključuju troškove najma dvorana za održavanje edukacijskih aktivnost</w:t>
      </w:r>
      <w:r>
        <w:t>i AZVO-a, konferencija, fokus grupe i drugih događanja s većim brojem sudionika (20 i više) – djelatnika visokih učilišta i studenta; zatim jednogodišnje licence za statističke programe i programe za komunikaciju na daljinu i sl. Za troškove reprezentacije</w:t>
      </w:r>
      <w:r>
        <w:t xml:space="preserve"> planira se 46.718 eura što obuhvaća troškove cateringa i radnih ručkova za postupke vrednovanja, radnih grupa za razvoj i unaprjeđenje postupaka vrednovanja, edukacije, konferencije i radionice za djelatnike visokih učilišta i studente te članove fokus gr</w:t>
      </w:r>
      <w:r>
        <w:t xml:space="preserve">upa.  </w:t>
      </w:r>
    </w:p>
    <w:p w:rsidR="009520A9" w:rsidRDefault="00770482">
      <w:r>
        <w:t>Nadalje, za službena putovanja u okviru projekta se planira iznos od 90.252 eura što uključuje putne troškove (noćenje, dnevnice, trošak puta) zaposlenika AZVO-a koji sudjeluju na aktivnostima projekta. Izračun se temelji na trošku putovanja u sklad</w:t>
      </w:r>
      <w:r>
        <w:t>u s dosadašnjim iskustvima AZVO-a. Za stručno usavršavanje djelatnika planirana su sredstva u iznosu od 33.181 euro što uključuje trošak domaćih i međunarodnih kotizacija za konferencije, edukacije, seminare za zaposlenike Agencije koji sudjeluju na aktivn</w:t>
      </w:r>
      <w:r>
        <w:t xml:space="preserve">ostima projekta.   </w:t>
      </w:r>
    </w:p>
    <w:p w:rsidR="009520A9" w:rsidRDefault="00770482">
      <w:r>
        <w:t xml:space="preserve">Za usluge promidžbe i informiranja planirano je 66.361 euro što uključuje izradu vizualnog identiteta projekta, tisak promotivnog materijala i svega što je relevantno za vidljivost projekta i njegovih rezultata.   </w:t>
      </w:r>
    </w:p>
    <w:p w:rsidR="009520A9" w:rsidRDefault="00770482">
      <w:r>
        <w:t>U iznosu od 78.572 eu</w:t>
      </w:r>
      <w:r>
        <w:t xml:space="preserve">ra planirana su sredstava za putne troškove i smještaj domaćih i međunarodnih recenzenata u postupcima vrednovanja, zatim stručnjaka predavača na radionicama, konferencijama i sl., kao i članova radnih skupina za izradu dokumenata za postupke vrednovanja, </w:t>
      </w:r>
      <w:r>
        <w:t xml:space="preserve">sudionika radionica i slično.   </w:t>
      </w:r>
    </w:p>
    <w:p w:rsidR="009520A9" w:rsidRDefault="00770482">
      <w:r>
        <w:t>Za nabavu ogovarajućih licenci, uključujući troškove za višegodišnje licence za statističke programe, programe za prevođenje i programe za komunikaciju na daljinu i sl. koji se koriste za omogućavanje online vanjskih vredno</w:t>
      </w:r>
      <w:r>
        <w:t>vanja, prijevode završnih izvješća stručnih povjerenstava planiraju se sredstva u iznosu od 15.263 eura. Za uredsku opremu uključujući nabavu računala, prijenosnih računala i računalne opreme za podršku provedbi projektnih aktivnosti (uključujući podršku p</w:t>
      </w:r>
      <w:r>
        <w:t xml:space="preserve">rocesima vanjskog vrednovanja), stručnu literaturu planiraju se sredstva u iznosu od 14.600 eura.  </w:t>
      </w:r>
    </w:p>
    <w:p w:rsidR="009520A9" w:rsidRDefault="00770482">
      <w:r>
        <w:t>Za unaprjeđenje kompletnoga informacijskog sustava AZVO-a, odnosno uvođenje adekvatne digitalizacije poslovnih procesa AZVO-a planirana su sredstva u iznosu</w:t>
      </w:r>
      <w:r>
        <w:t xml:space="preserve"> od 398.168 eura. Stavka obuhvaća troškove izrade informacijskog sustava AZVO-a koji objedinjuje poslovne procese AZVO-a s ciljem povećanja poslovne učinkovitosti, zatim obuhvaća troškove izrade informacijskog sustava podrške za provedbu vanjskih vrednovan</w:t>
      </w:r>
      <w:r>
        <w:t xml:space="preserve">ja.  </w:t>
      </w:r>
    </w:p>
    <w:p w:rsidR="009520A9" w:rsidRDefault="00770482">
      <w:r>
        <w:t>AZVO je aktivni punopravnih član relevantnih međunarodnih udruženja za koje su za podmirenje godišnjih članarina planirana sredstva u iznosu od 13.272 eura. Stavka obuhvaća godišnje članarine u ENQA-i, EQAR-u, CEENQA-i, INQAAHE-u te drugim stručnim u</w:t>
      </w:r>
      <w:r>
        <w:t>druženjima.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provedenih vanjskih vrednovanja</w:t>
            </w:r>
          </w:p>
        </w:tc>
        <w:tc>
          <w:tcPr>
            <w:tcW w:w="2245" w:type="dxa"/>
            <w:vAlign w:val="top"/>
          </w:tcPr>
          <w:p w:rsidR="009520A9" w:rsidRDefault="00770482">
            <w:pPr>
              <w:pStyle w:val="CellColumn"/>
              <w:jc w:val="left"/>
            </w:pPr>
            <w:r>
              <w:rPr>
                <w:rFonts w:cs="Times New Roman"/>
              </w:rPr>
              <w:t>Vanjska vrednovanja podrazumijevaju postupke: reakreditaciju VU-a, inicijalnu akreditaciju studijskih programa, inicijalnu akreditaciju doktorskih studija, vrednovanje provedbe programskih ugovora i tematsko vrednovanje (provedba analize disciplinarnosti)</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17</w:t>
            </w:r>
          </w:p>
        </w:tc>
        <w:tc>
          <w:tcPr>
            <w:tcW w:w="918" w:type="dxa"/>
          </w:tcPr>
          <w:p w:rsidR="009520A9" w:rsidRDefault="00770482">
            <w:pPr>
              <w:jc w:val="center"/>
            </w:pPr>
            <w:r>
              <w:t>90</w:t>
            </w:r>
          </w:p>
        </w:tc>
        <w:tc>
          <w:tcPr>
            <w:tcW w:w="918" w:type="dxa"/>
          </w:tcPr>
          <w:p w:rsidR="009520A9" w:rsidRDefault="00770482">
            <w:pPr>
              <w:jc w:val="center"/>
            </w:pPr>
            <w:r>
              <w:t>90</w:t>
            </w:r>
          </w:p>
        </w:tc>
      </w:tr>
      <w:tr w:rsidR="009520A9">
        <w:trPr>
          <w:jc w:val="center"/>
        </w:trPr>
        <w:tc>
          <w:tcPr>
            <w:tcW w:w="2245" w:type="dxa"/>
            <w:vAlign w:val="top"/>
          </w:tcPr>
          <w:p w:rsidR="009520A9" w:rsidRDefault="00770482">
            <w:pPr>
              <w:pStyle w:val="CellColumn"/>
              <w:jc w:val="left"/>
            </w:pPr>
            <w:r>
              <w:rPr>
                <w:rFonts w:cs="Times New Roman"/>
              </w:rPr>
              <w:t>Broj održanih seminara, edukacija za predstavnike visokih učilišta</w:t>
            </w:r>
          </w:p>
        </w:tc>
        <w:tc>
          <w:tcPr>
            <w:tcW w:w="2245" w:type="dxa"/>
            <w:vAlign w:val="top"/>
          </w:tcPr>
          <w:p w:rsidR="009520A9" w:rsidRDefault="00770482">
            <w:pPr>
              <w:pStyle w:val="CellColumn"/>
              <w:jc w:val="left"/>
            </w:pPr>
            <w:r>
              <w:rPr>
                <w:rFonts w:cs="Times New Roman"/>
              </w:rPr>
              <w:t xml:space="preserve">Edukacije podrazumijevaju: edukacije djelatnika VU-a s ciljem osnaživanja kapaciteta VU-a za unutarnje osiguravanje kvalitete, edukacije nastavnog osoblja VU-a s ciljem unaprjeđenja nastavničkih kompetencija te edukacije za studente u svrhu uključivanja u </w:t>
            </w:r>
            <w:r>
              <w:rPr>
                <w:rFonts w:cs="Times New Roman"/>
              </w:rPr>
              <w:t>procese osiguravanja kvalitete</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10</w:t>
            </w:r>
          </w:p>
        </w:tc>
        <w:tc>
          <w:tcPr>
            <w:tcW w:w="918" w:type="dxa"/>
          </w:tcPr>
          <w:p w:rsidR="009520A9" w:rsidRDefault="00770482">
            <w:pPr>
              <w:jc w:val="center"/>
            </w:pPr>
            <w:r>
              <w:t>10</w:t>
            </w:r>
          </w:p>
        </w:tc>
        <w:tc>
          <w:tcPr>
            <w:tcW w:w="918" w:type="dxa"/>
          </w:tcPr>
          <w:p w:rsidR="009520A9" w:rsidRDefault="00770482">
            <w:pPr>
              <w:jc w:val="center"/>
            </w:pPr>
            <w:r>
              <w:t>10</w:t>
            </w:r>
          </w:p>
        </w:tc>
      </w:tr>
      <w:tr w:rsidR="009520A9">
        <w:trPr>
          <w:jc w:val="center"/>
        </w:trPr>
        <w:tc>
          <w:tcPr>
            <w:tcW w:w="2245" w:type="dxa"/>
            <w:vAlign w:val="top"/>
          </w:tcPr>
          <w:p w:rsidR="009520A9" w:rsidRDefault="00770482">
            <w:pPr>
              <w:pStyle w:val="CellColumn"/>
              <w:jc w:val="left"/>
            </w:pPr>
            <w:r>
              <w:rPr>
                <w:rFonts w:cs="Times New Roman"/>
              </w:rPr>
              <w:t>Unaprjeđeni i novi postupci vanjskog vrednovanja</w:t>
            </w:r>
          </w:p>
        </w:tc>
        <w:tc>
          <w:tcPr>
            <w:tcW w:w="2245" w:type="dxa"/>
            <w:vAlign w:val="top"/>
          </w:tcPr>
          <w:p w:rsidR="009520A9" w:rsidRDefault="00770482">
            <w:pPr>
              <w:pStyle w:val="CellColumn"/>
              <w:jc w:val="left"/>
            </w:pPr>
            <w:r>
              <w:rPr>
                <w:rFonts w:cs="Times New Roman"/>
              </w:rPr>
              <w:t>Podrazumijeva izradu modela programskog vrednovanja za inicijalnu akreditaciju doktorskih studija, model vrednovanja provedbe programskih ugovora, tematsk</w:t>
            </w:r>
            <w:r>
              <w:rPr>
                <w:rFonts w:cs="Times New Roman"/>
              </w:rPr>
              <w:t>o vrednovanje, model reakreditacije VU-a, inicijalna akreditacija studijskih programa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4</w:t>
            </w:r>
          </w:p>
        </w:tc>
        <w:tc>
          <w:tcPr>
            <w:tcW w:w="918" w:type="dxa"/>
          </w:tcPr>
          <w:p w:rsidR="009520A9" w:rsidRDefault="00770482">
            <w:pPr>
              <w:jc w:val="center"/>
            </w:pPr>
            <w:r>
              <w:t>1</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Unaprjeđen informacijski sustav</w:t>
            </w:r>
          </w:p>
        </w:tc>
        <w:tc>
          <w:tcPr>
            <w:tcW w:w="2245" w:type="dxa"/>
            <w:vAlign w:val="top"/>
          </w:tcPr>
          <w:p w:rsidR="009520A9" w:rsidRDefault="00770482">
            <w:pPr>
              <w:pStyle w:val="CellColumn"/>
              <w:jc w:val="left"/>
            </w:pPr>
            <w:r>
              <w:rPr>
                <w:rFonts w:cs="Times New Roman"/>
              </w:rPr>
              <w:t>Podrazumijeva izradu informacijskog sustava AZVO-a koji objedinjuje poslovne procese AZVO-a s ciljem povećanja poslovne učinkovitosti te unaprjeđenje informacijskog sustava podrške za provedbu vanjskih vrednovanja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publikacija izrađe</w:t>
            </w:r>
            <w:r>
              <w:rPr>
                <w:rFonts w:cs="Times New Roman"/>
              </w:rPr>
              <w:t>nih s ciljem unaprjeđenja kvalitete</w:t>
            </w:r>
          </w:p>
        </w:tc>
        <w:tc>
          <w:tcPr>
            <w:tcW w:w="2245" w:type="dxa"/>
            <w:vAlign w:val="top"/>
          </w:tcPr>
          <w:p w:rsidR="009520A9" w:rsidRDefault="00770482">
            <w:pPr>
              <w:pStyle w:val="CellColumn"/>
              <w:jc w:val="left"/>
            </w:pPr>
            <w:r>
              <w:rPr>
                <w:rFonts w:cs="Times New Roman"/>
              </w:rPr>
              <w:t>Publikacije su izrađene na temelju analize drugog ciklusa institucijske akreditacije, analize utjecaja postupaka vrednovanja, analize disciplinarnosti</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0</w:t>
            </w:r>
          </w:p>
        </w:tc>
        <w:tc>
          <w:tcPr>
            <w:tcW w:w="918" w:type="dxa"/>
          </w:tcPr>
          <w:p w:rsidR="009520A9" w:rsidRDefault="00770482">
            <w:pPr>
              <w:jc w:val="center"/>
            </w:pPr>
            <w:r>
              <w:t>2</w:t>
            </w:r>
          </w:p>
        </w:tc>
        <w:tc>
          <w:tcPr>
            <w:tcW w:w="918" w:type="dxa"/>
          </w:tcPr>
          <w:p w:rsidR="009520A9" w:rsidRDefault="00770482">
            <w:pPr>
              <w:jc w:val="center"/>
            </w:pPr>
            <w:r>
              <w:t>3</w:t>
            </w:r>
          </w:p>
        </w:tc>
      </w:tr>
    </w:tbl>
    <w:p w:rsidR="009520A9" w:rsidRDefault="009520A9">
      <w:pPr>
        <w:jc w:val="left"/>
      </w:pPr>
    </w:p>
    <w:p w:rsidR="009520A9" w:rsidRDefault="00770482">
      <w:pPr>
        <w:pStyle w:val="Heading4"/>
      </w:pPr>
      <w:r>
        <w:t>K867022 PROGRAM UČINKOVITI LJUDSKI POTENCIJALI 2021.-2027., PRIORITET 2 - OBRAZOVANJE I CJELOŽIVOTNO UČENJE</w:t>
      </w:r>
    </w:p>
    <w:p w:rsidR="009520A9" w:rsidRDefault="00770482">
      <w:pPr>
        <w:pStyle w:val="Heading8"/>
        <w:jc w:val="left"/>
      </w:pPr>
      <w:r>
        <w:t>Zakonske i druge pravne osnove</w:t>
      </w:r>
    </w:p>
    <w:p w:rsidR="009520A9" w:rsidRDefault="00770482">
      <w:r>
        <w:t>Zakon o osiguravanju kvalitete u znanosti i visokom obrazovanju te Zakon o znanstvenoj djelatnosti i visokom obrazova</w:t>
      </w:r>
      <w:r>
        <w:t>nju.</w:t>
      </w:r>
    </w:p>
    <w:tbl>
      <w:tblPr>
        <w:tblStyle w:val="StilTablice"/>
        <w:tblW w:w="10206" w:type="dxa"/>
        <w:jc w:val="center"/>
        <w:tblLook w:val="04A0" w:firstRow="1" w:lastRow="0" w:firstColumn="1" w:lastColumn="0" w:noHBand="0" w:noVBand="1"/>
      </w:tblPr>
      <w:tblGrid>
        <w:gridCol w:w="1475"/>
        <w:gridCol w:w="1562"/>
        <w:gridCol w:w="1537"/>
        <w:gridCol w:w="1554"/>
        <w:gridCol w:w="1554"/>
        <w:gridCol w:w="1554"/>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K867022</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1632" w:type="dxa"/>
            <w:vAlign w:val="top"/>
          </w:tcPr>
          <w:p w:rsidR="009520A9" w:rsidRDefault="00770482">
            <w:pPr>
              <w:jc w:val="right"/>
            </w:pPr>
            <w:r>
              <w:t>153.659</w:t>
            </w:r>
          </w:p>
        </w:tc>
        <w:tc>
          <w:tcPr>
            <w:tcW w:w="1632" w:type="dxa"/>
            <w:vAlign w:val="top"/>
          </w:tcPr>
          <w:p w:rsidR="009520A9" w:rsidRDefault="00770482">
            <w:pPr>
              <w:jc w:val="right"/>
            </w:pPr>
            <w:r>
              <w:t>152.242</w:t>
            </w:r>
          </w:p>
        </w:tc>
        <w:tc>
          <w:tcPr>
            <w:tcW w:w="1632" w:type="dxa"/>
            <w:vAlign w:val="top"/>
          </w:tcPr>
          <w:p w:rsidR="009520A9" w:rsidRDefault="00770482">
            <w:pPr>
              <w:jc w:val="right"/>
            </w:pPr>
            <w:r>
              <w:t>151.583</w:t>
            </w:r>
          </w:p>
        </w:tc>
        <w:tc>
          <w:tcPr>
            <w:tcW w:w="510" w:type="dxa"/>
            <w:vAlign w:val="top"/>
          </w:tcPr>
          <w:p w:rsidR="009520A9" w:rsidRDefault="00770482">
            <w:pPr>
              <w:jc w:val="right"/>
            </w:pPr>
            <w:r>
              <w:t>0,0</w:t>
            </w:r>
          </w:p>
        </w:tc>
      </w:tr>
    </w:tbl>
    <w:p w:rsidR="009520A9" w:rsidRDefault="009520A9">
      <w:pPr>
        <w:jc w:val="left"/>
      </w:pPr>
    </w:p>
    <w:p w:rsidR="009520A9" w:rsidRDefault="00770482">
      <w:r>
        <w:t>Cilj projekta je promicanje jednakog pristupa kvalitetnom i uključivom obrazovanju i osposobljavanju te njegova završetka, posebice kad je riječ o skupinama u nepovoljnom položaju, od ranog i predškolskog odgoja i obrazovanja preko općeg i strukovnog obraz</w:t>
      </w:r>
      <w:r>
        <w:t>ovanja i osposobljavanja do tercijarnog obrazovanja, kao i obrazovanja i učenja odraslih, uključujući olakšavanje mobilnosti u svrhu učenja za sve i pristupačnosti osobama s invaliditetom. AZVO sudjeluje u projektu zajedno s CARNET-om, MZO-om, Središnjim d</w:t>
      </w:r>
      <w:r>
        <w:t xml:space="preserve">ržavnim uredom za razvoj digitalnog društva i Sveučilišnim računskim centrom (Srce). </w:t>
      </w:r>
    </w:p>
    <w:p w:rsidR="009520A9" w:rsidRDefault="00770482">
      <w:r>
        <w:t xml:space="preserve">Proces upisa na visoka učilišta u RH već sada je informatiziran, ali kako bi bio dugoročno održiv, AZVO u sklopu projekta planira izvršiti cjelovitu rekonstrukciju postojećeg NISpVU2 sustava s ciljem postizanja pune funkcionalnosti. Sustav koji se planira </w:t>
      </w:r>
      <w:r>
        <w:t xml:space="preserve">nadograditi trenutačno je u funkciji za centralnu prijavu na diplomske studijske programe (https://diplomski.studij.hr/). U svrhu neometanog nastavka procesa centralne prijave na prijediplomske i integrirane prijediplomske i diplomske studijske programe i </w:t>
      </w:r>
      <w:r>
        <w:t>ispunjavanja uvjeta za upise na visoka učilišta u RH potrebno ga je unaprijediti , u skladu sa suvremenom arhitekturom i dizajnom te s neophodnim funkcionalnostima koje trenutno nisu dostupne. Planirano je dodavanje novih funkcionalnosti (npr. Prikaz dostu</w:t>
      </w:r>
      <w:r>
        <w:t>pnih studija nakon izbora ispita državne mature) te performansna i ostala testiranja sustava. Iznimno je važno novi sustav u cijelosti povezati s ostalim nacionalnim servisima/sustavima koji su nužni za pravilno funkcioniranje prijava i generiranje rang li</w:t>
      </w:r>
      <w:r>
        <w:t xml:space="preserve">sta za upise na visoka učilišta, kao što su: e-Matica 2, Središnji registar državne mature (SRDM), Informacijski sustav visokih učilišta (ISVU) te OIB sustav.  </w:t>
      </w:r>
    </w:p>
    <w:p w:rsidR="009520A9" w:rsidRDefault="00770482">
      <w:r>
        <w:t>Dosadašnja praksa unosa podataka o rezultatima natjecanja, kategorizacija sportaša te prava pre</w:t>
      </w:r>
      <w:r>
        <w:t>dnosti pri upisu pokazala je neophodnu potrebu za digitalizacijom i povezivanjem različitih baza podataka i registara (AZOO i ASOO natjecanja, Hrvatski olimpijski odbor, Registar osoba s invaliditetom HZJZ, Upisnik studijskih programa, Upisnik visokih učil</w:t>
      </w:r>
      <w:r>
        <w:t>išta) kako bi se olakšao i ubrzao proces evidencije podataka o kandidatima i studijskim programima, a samim time i smanjila mogućnost pogreške. Krajnjim korisnicima sustava takvo će povezivanje baza podataka omogućiti jednostavniji i brži upis na željeno v</w:t>
      </w:r>
      <w:r>
        <w:t xml:space="preserve">isoko učilište, a svim drugim dionicima u procesu će smanjiti nepotrebne administrativne poslove korištenjem već postojećih podataka u navedenim bazama, što kao posljedicu ima ukupno smanjenje troškova prijava. </w:t>
      </w:r>
    </w:p>
    <w:p w:rsidR="009520A9" w:rsidRDefault="00770482">
      <w:r>
        <w:t>S ciljem unaprjeđenja načina prijava studijs</w:t>
      </w:r>
      <w:r>
        <w:t>kih programa potrebno je ugraditi slijedeće funkcionalnosti na korisničkom sučelju u NISpVU2: prikaz studijskih programa koje je moguće prijaviti s već položenim/prijavljenim ispitima državne mature; ažuran prikaz prijavljenih ispita državne mature, prikaz</w:t>
      </w:r>
      <w:r>
        <w:t xml:space="preserve"> obavijesti o nemogućnosti prijave pojedinih studijskih programa za koji nije prijavljen potreban ispit državne mature sukladno uvjetima visokog učilišta. Navedene funkcionalnosti bi omogućile krajnjim korisnicima bolju preglednost i dale bi potrebne infor</w:t>
      </w:r>
      <w:r>
        <w:t xml:space="preserve">macije za prijavu studijskih programa. Potrebne su i nadogradnje administrativnog sučelja, dodavanje analitičkog izvještajnog sustava te testiranje sustava prije produkcije.  </w:t>
      </w:r>
    </w:p>
    <w:p w:rsidR="009520A9" w:rsidRDefault="00770482">
      <w:r>
        <w:t xml:space="preserve">U sklopu projekta planira se i razvoj nove i unaprijeđene on-line aplikacije za </w:t>
      </w:r>
      <w:r>
        <w:t xml:space="preserve">usporedbu studija koja će pomoći maturantima, tj. budućim studentima da po određenim izabranim kriterijima uspoređuju sve postojeće preddiplomske i integrirane preddiplomske i diplomske studijske programe u Hrvatskoj i na taj način si olakšaju odluku gdje </w:t>
      </w:r>
      <w:r>
        <w:t xml:space="preserve">i što studirati što može doprinijeti smanjenju broja studenata koji odustaju od upisanog studija. </w:t>
      </w:r>
    </w:p>
    <w:p w:rsidR="009520A9" w:rsidRDefault="00770482">
      <w:r>
        <w:t>U 2024. godini planiraju se sredstva u iznosu od 122.752 eura za računalne usluge što podrazumijeva trošak usluge nadogradnje NISpVU2 sustava, dodavanje novi</w:t>
      </w:r>
      <w:r>
        <w:t xml:space="preserve">h funkcionalnosti te performansna i ostala testiranja sustava.  </w:t>
      </w:r>
    </w:p>
    <w:p w:rsidR="009520A9" w:rsidRDefault="00770482">
      <w:r>
        <w:t>Na plaće djelatnika AZVO zaposlenih na puno radno vrijeme (1 novozaposlena osoba) i troškove plaće jednog postojećeg djelatnika AZVO-a angažiranog na projektnim aktivnostima u okviru ovog ele</w:t>
      </w:r>
      <w:r>
        <w:t xml:space="preserve">menta planiraju se sredstva za 2024. godinu u iznosu od 6.406 eura uključujući doprinose za obvezno zdravstveno osiguranje. </w:t>
      </w:r>
    </w:p>
    <w:p w:rsidR="009520A9" w:rsidRDefault="00770482">
      <w:r>
        <w:t>Također, zbog uvođenja novog sustava potrebno je educirati djelatnike srednjih škola koji sudjeluju u procesu te educirati same mat</w:t>
      </w:r>
      <w:r>
        <w:t>urante i ostale zainteresirane kandidate o postupku prijave. U sklopu projekta, planiraju se izvršiti edukacije koje će nadležna tijela izvršiti samostalno s već postojećim kapacitetima. U svrhu digitalizacije i manjeg troška, većina edukacija planira se o</w:t>
      </w:r>
      <w:r>
        <w:t xml:space="preserve">držati online. Na intelektualne usluge planiraju se troškovi u iznosu od 17.051 eura za 2024. godinu. </w:t>
      </w:r>
    </w:p>
    <w:p w:rsidR="009520A9" w:rsidRDefault="00770482">
      <w:r>
        <w:t>Na stručna usavršavanja zaposlenika AZVO-a te službena putovanja u 2024. godini planira se trošak od 2.100 eura. Stavka obuhvaća troškove kotizacija, pri</w:t>
      </w:r>
      <w:r>
        <w:t>jevoza, cestarina, goriva, te troškove noćenja i dnevnica i ostalih troškova vezanih uz službena putovanja te sudjelovanje članova projektnog tima na stručnim konferencijama i skupovima radi prikupljanja i analiziranja primjera dobre prakse te promocije pr</w:t>
      </w:r>
      <w:r>
        <w:t xml:space="preserve">ojektnih rezultata. Kako bi se osiguralo da članovi projektnog tima budu kontinuirano u tijeku s trendovima u industriji te novitetima na tržištu pružanja javnih e-usluga, predviđen je njihov odlazak na  stručne skupove/konferencije. </w:t>
      </w:r>
    </w:p>
    <w:p w:rsidR="009520A9" w:rsidRDefault="00770482">
      <w:r>
        <w:t>Ostali materijalni ra</w:t>
      </w:r>
      <w:r>
        <w:t>shodi planirani za 2024. godinu obuhvaćaju troškove usluga promidžbe i informiranja u iznosu od 500 eura, troškove uredskog materijala, uredske opreme i namještaja 2.250 eura, troškove reprezentacije u iznosu od 1.000 eura te ostale troškove.</w:t>
      </w:r>
    </w:p>
    <w:p w:rsidR="009520A9" w:rsidRDefault="00770482">
      <w:pPr>
        <w:pStyle w:val="Heading8"/>
        <w:jc w:val="left"/>
      </w:pPr>
      <w:r>
        <w:t>Pokazatelji r</w:t>
      </w:r>
      <w:r>
        <w:t>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Nadogradnja novih funkcionalnosti u NISpVU2 i povezivanje s ostalim nacionalnim sustavima/servisima, te bazama podataka</w:t>
            </w:r>
          </w:p>
        </w:tc>
        <w:tc>
          <w:tcPr>
            <w:tcW w:w="2245" w:type="dxa"/>
            <w:vAlign w:val="top"/>
          </w:tcPr>
          <w:p w:rsidR="009520A9" w:rsidRDefault="00770482">
            <w:pPr>
              <w:pStyle w:val="CellColumn"/>
              <w:jc w:val="left"/>
            </w:pPr>
            <w:r>
              <w:rPr>
                <w:rFonts w:cs="Times New Roman"/>
              </w:rPr>
              <w:t>Podrazumijeva dodavanje novih funkcionalnosti (prikaz studijskih programa koje je moguće prijaviti s već položenim/prijavljenim ispitima</w:t>
            </w:r>
            <w:r>
              <w:rPr>
                <w:rFonts w:cs="Times New Roman"/>
              </w:rPr>
              <w:t xml:space="preserve"> državne mature; ažuran prikaz prijavljenih ispita državne mature, prikaz obavijesti o nemogućnosti prijave pojedinih studijskih programa za koji nije prijavljen potreban ispit državne mature sukladno uvjetima visokog učilišta), povezivanje sa e-Maticom 2,</w:t>
            </w:r>
            <w:r>
              <w:rPr>
                <w:rFonts w:cs="Times New Roman"/>
              </w:rPr>
              <w:t xml:space="preserve"> Središnji registar državne mature (SRDM), Informacijski sustav visokih učilišta (ISVU) te OIB sustavom kao i bazama i registrima (AZOO i ASOO natjecanja, Hrvatski olimpijski odbor, Registar osoba s invaliditetom HZJZ, Upisnik studijskih programa, Upisnik </w:t>
            </w:r>
            <w:r>
              <w:rPr>
                <w:rFonts w:cs="Times New Roman"/>
              </w:rPr>
              <w:t>visokih učilišta)</w:t>
            </w:r>
          </w:p>
        </w:tc>
        <w:tc>
          <w:tcPr>
            <w:tcW w:w="918" w:type="dxa"/>
          </w:tcPr>
          <w:p w:rsidR="009520A9" w:rsidRDefault="00770482">
            <w:pPr>
              <w:jc w:val="center"/>
            </w:pPr>
            <w:r>
              <w:t>%</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100</w:t>
            </w:r>
          </w:p>
        </w:tc>
        <w:tc>
          <w:tcPr>
            <w:tcW w:w="918" w:type="dxa"/>
          </w:tcPr>
          <w:p w:rsidR="009520A9" w:rsidRDefault="00770482">
            <w:pPr>
              <w:jc w:val="center"/>
            </w:pPr>
            <w:r>
              <w:t>100</w:t>
            </w:r>
          </w:p>
        </w:tc>
        <w:tc>
          <w:tcPr>
            <w:tcW w:w="918" w:type="dxa"/>
          </w:tcPr>
          <w:p w:rsidR="009520A9" w:rsidRDefault="00770482">
            <w:pPr>
              <w:jc w:val="center"/>
            </w:pPr>
            <w:r>
              <w:t>100</w:t>
            </w:r>
          </w:p>
        </w:tc>
      </w:tr>
      <w:tr w:rsidR="009520A9">
        <w:trPr>
          <w:jc w:val="center"/>
        </w:trPr>
        <w:tc>
          <w:tcPr>
            <w:tcW w:w="2245" w:type="dxa"/>
            <w:vAlign w:val="top"/>
          </w:tcPr>
          <w:p w:rsidR="009520A9" w:rsidRDefault="00770482">
            <w:pPr>
              <w:pStyle w:val="CellColumn"/>
              <w:jc w:val="left"/>
            </w:pPr>
            <w:r>
              <w:rPr>
                <w:rFonts w:cs="Times New Roman"/>
              </w:rPr>
              <w:t>Aplikacija za usporedbu studija</w:t>
            </w:r>
          </w:p>
        </w:tc>
        <w:tc>
          <w:tcPr>
            <w:tcW w:w="2245" w:type="dxa"/>
            <w:vAlign w:val="top"/>
          </w:tcPr>
          <w:p w:rsidR="009520A9" w:rsidRDefault="00770482">
            <w:pPr>
              <w:pStyle w:val="CellColumn"/>
              <w:jc w:val="left"/>
            </w:pPr>
            <w:r>
              <w:rPr>
                <w:rFonts w:cs="Times New Roman"/>
              </w:rPr>
              <w:t>Razvoj nove i unaprijeđene on-line aplikacije za usporedbu studija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r w:rsidR="009520A9">
        <w:trPr>
          <w:jc w:val="center"/>
        </w:trPr>
        <w:tc>
          <w:tcPr>
            <w:tcW w:w="2245" w:type="dxa"/>
            <w:vAlign w:val="top"/>
          </w:tcPr>
          <w:p w:rsidR="009520A9" w:rsidRDefault="00770482">
            <w:pPr>
              <w:pStyle w:val="CellColumn"/>
              <w:jc w:val="left"/>
            </w:pPr>
            <w:r>
              <w:rPr>
                <w:rFonts w:cs="Times New Roman"/>
              </w:rPr>
              <w:t>Broj održanih edukacija</w:t>
            </w:r>
          </w:p>
        </w:tc>
        <w:tc>
          <w:tcPr>
            <w:tcW w:w="2245" w:type="dxa"/>
            <w:vAlign w:val="top"/>
          </w:tcPr>
          <w:p w:rsidR="009520A9" w:rsidRDefault="00770482">
            <w:pPr>
              <w:pStyle w:val="CellColumn"/>
              <w:jc w:val="left"/>
            </w:pPr>
            <w:r>
              <w:rPr>
                <w:rFonts w:cs="Times New Roman"/>
              </w:rPr>
              <w:t>Edukacije podrazumijevaju edukacije djelatnika VU-a i srednjih škola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AZVO</w:t>
            </w:r>
          </w:p>
        </w:tc>
        <w:tc>
          <w:tcPr>
            <w:tcW w:w="918" w:type="dxa"/>
          </w:tcPr>
          <w:p w:rsidR="009520A9" w:rsidRDefault="00770482">
            <w:pPr>
              <w:jc w:val="center"/>
            </w:pPr>
            <w:r>
              <w:t>5</w:t>
            </w:r>
          </w:p>
        </w:tc>
        <w:tc>
          <w:tcPr>
            <w:tcW w:w="918" w:type="dxa"/>
          </w:tcPr>
          <w:p w:rsidR="009520A9" w:rsidRDefault="00770482">
            <w:pPr>
              <w:jc w:val="center"/>
            </w:pPr>
            <w:r>
              <w:t>5</w:t>
            </w:r>
          </w:p>
        </w:tc>
        <w:tc>
          <w:tcPr>
            <w:tcW w:w="918" w:type="dxa"/>
          </w:tcPr>
          <w:p w:rsidR="009520A9" w:rsidRDefault="00770482">
            <w:pPr>
              <w:jc w:val="center"/>
            </w:pPr>
            <w:r>
              <w:t>5</w:t>
            </w:r>
          </w:p>
        </w:tc>
      </w:tr>
    </w:tbl>
    <w:p w:rsidR="009520A9" w:rsidRDefault="009520A9">
      <w:pPr>
        <w:jc w:val="left"/>
      </w:pPr>
    </w:p>
    <w:p w:rsidR="009520A9" w:rsidRDefault="00770482">
      <w:pPr>
        <w:pStyle w:val="Heading2"/>
      </w:pPr>
      <w:r>
        <w:t>40883 Nacionalni centar za vanjsko vrednovanje obrazovanja</w:t>
      </w:r>
    </w:p>
    <w:p w:rsidR="009520A9" w:rsidRDefault="00770482">
      <w:r>
        <w:t>Nacionalni centar za vanjsko vrednovanje obrazovanja (u daljnjem tekstu: Centar) prema Zakonu o Nacionalnom centru za vanjsko vrednovanje obrazovanja (u daljnjem tekstu: Zakon) obavlja poslove vanjskog vrednovanja odgojno-obrazovnoga sustava Republike Hrva</w:t>
      </w:r>
      <w:r>
        <w:t>tske i poslove provedbe ispita temeljenih na nacionalnim standardima. Osnivač je Centra Republika Hrvatska, a prava i dužnosti osnivača obavlja ministarstvo nadležno za obrazovanje (u daljnjem tekstu: Ministarstvo). Centar planira strategije i metodologiju</w:t>
      </w:r>
      <w:r>
        <w:t xml:space="preserve"> provedbe ispita i vanjskoga vrednovanja u obrazovanju, provodi znanstveno istraživački rad u području edukacijskih mjerenja i vanjskoga provjeravanja znanja, vještina i ostalih kompetencija,  izrađuje banke zadataka, ispite i ostale ispitne materijale, iz</w:t>
      </w:r>
      <w:r>
        <w:t>rađuje i publicira ispitne kataloge i utvrđuje standarde vrednovanja znanja, vještina i ostalih kompetencija, izrađuje i publicira radne materijale i priručnike za pripremu ispita, organizira i provodi sve vrste ispita temeljenih na nacionalnim standardima</w:t>
      </w:r>
      <w:r>
        <w:t xml:space="preserve"> uključujući i državnu maturu, izdaje potvrde i svjedodžbe o položenim ispitima, surađuje i usklađuje rad s međunarodnim certifikacijskim centrima i organizacijama,  organizira provedbu međunarodnih ispita i međunarodnih komparativnih analiza u obrazovanju</w:t>
      </w:r>
      <w:r>
        <w:t>,  provodi vanjsko vrednovanje u osnovnim i srednjim školama te drugim ustanovama koje se bave profesionalnim obrazovanjem i usavršavanjem, analizira, statistički obrađuje i objavljuje rezultate ispita i vanjskoga vrednovanja obrazovanja na temelju evaluac</w:t>
      </w:r>
      <w:r>
        <w:t>ijskih analiza daje prijedloge Ministarstvu, savjetuje škole i pomaže im u samovrednovanju i razvoju temeljenom na rezultatima standardiziranih testiranja, organizira seminare za nastavnike u području edukacijskih procjena, ocjenjivanja i vrednovanja napre</w:t>
      </w:r>
      <w:r>
        <w:t>dovanja učenik, organizira seminare za vanjske suradnike Centra tijekom pripreme i provedbe ispita (predmetna povjerenstva, vanjski ocjenjivači, autori ispitnih zadataka itd.), razvija i održava informacijski sustav te tiska i objavljuje dokumente i publik</w:t>
      </w:r>
      <w:r>
        <w:t xml:space="preserve">acije iz područja vanjskoga vrednovanja, obavlja druge poslove u vezi s provedbom nacionalnih ispita i vanjskoga vrednovanja u obrazovanju.  </w:t>
      </w:r>
    </w:p>
    <w:p w:rsidR="009520A9" w:rsidRDefault="00770482">
      <w:r>
        <w:t>Centar tijekom obavljanja poslova iz svoje djelatnosti surađuje s drugim ustanovama s javnim ovlastima nadležnim za obrazovanje te znanstvenim, odgojno-obrazovnim i ostalim ustanovama u području obrazovanja te pravnim i fizičkim osobama. Centar o rezultati</w:t>
      </w:r>
      <w:r>
        <w:t>ma svojega rada izvješćuje Ministarstvo, Vladu Republike Hrvatske i Odbor za obrazovanje, znanost i kulturu Hrvatskoga sabora najmanje jedanput godišnje. Također, pravodobno izvještava javnost o svojim poslovima.</w:t>
      </w:r>
    </w:p>
    <w:tbl>
      <w:tblPr>
        <w:tblStyle w:val="StilTablice"/>
        <w:tblW w:w="10206" w:type="dxa"/>
        <w:jc w:val="center"/>
        <w:tblLook w:val="04A0" w:firstRow="1" w:lastRow="0" w:firstColumn="1" w:lastColumn="0" w:noHBand="0" w:noVBand="1"/>
      </w:tblPr>
      <w:tblGrid>
        <w:gridCol w:w="1428"/>
        <w:gridCol w:w="1552"/>
        <w:gridCol w:w="1564"/>
        <w:gridCol w:w="1564"/>
        <w:gridCol w:w="1564"/>
        <w:gridCol w:w="1564"/>
        <w:gridCol w:w="970"/>
      </w:tblGrid>
      <w:tr w:rsidR="009520A9">
        <w:trPr>
          <w:jc w:val="center"/>
        </w:trPr>
        <w:tc>
          <w:tcPr>
            <w:tcW w:w="1530" w:type="dxa"/>
            <w:shd w:val="clear" w:color="auto" w:fill="B5C0D8"/>
          </w:tcPr>
          <w:p w:rsidR="009520A9" w:rsidRDefault="009520A9">
            <w:pPr>
              <w:pStyle w:val="CellHeader"/>
              <w:jc w:val="center"/>
            </w:pP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w:t>
            </w:r>
            <w:r>
              <w:rPr>
                <w:rFonts w:cs="Times New Roman"/>
              </w:rPr>
              <w:t xml:space="preserve">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tcPr>
          <w:p w:rsidR="009520A9" w:rsidRDefault="00770482">
            <w:pPr>
              <w:pStyle w:val="CellColumn"/>
              <w:jc w:val="left"/>
            </w:pPr>
            <w:r>
              <w:rPr>
                <w:rFonts w:cs="Times New Roman"/>
              </w:rPr>
              <w:t>40883</w:t>
            </w:r>
          </w:p>
        </w:tc>
        <w:tc>
          <w:tcPr>
            <w:tcW w:w="1632" w:type="dxa"/>
          </w:tcPr>
          <w:p w:rsidR="009520A9" w:rsidRDefault="00770482">
            <w:pPr>
              <w:jc w:val="right"/>
            </w:pPr>
            <w:r>
              <w:t>6.625.337</w:t>
            </w:r>
          </w:p>
        </w:tc>
        <w:tc>
          <w:tcPr>
            <w:tcW w:w="1632" w:type="dxa"/>
          </w:tcPr>
          <w:p w:rsidR="009520A9" w:rsidRDefault="00770482">
            <w:pPr>
              <w:jc w:val="right"/>
            </w:pPr>
            <w:r>
              <w:t>12.212.183</w:t>
            </w:r>
          </w:p>
        </w:tc>
        <w:tc>
          <w:tcPr>
            <w:tcW w:w="1632" w:type="dxa"/>
          </w:tcPr>
          <w:p w:rsidR="009520A9" w:rsidRDefault="00770482">
            <w:pPr>
              <w:jc w:val="right"/>
            </w:pPr>
            <w:r>
              <w:t>11.775.663</w:t>
            </w:r>
          </w:p>
        </w:tc>
        <w:tc>
          <w:tcPr>
            <w:tcW w:w="1632" w:type="dxa"/>
          </w:tcPr>
          <w:p w:rsidR="009520A9" w:rsidRDefault="00770482">
            <w:pPr>
              <w:jc w:val="right"/>
            </w:pPr>
            <w:r>
              <w:t>11.496.217</w:t>
            </w:r>
          </w:p>
        </w:tc>
        <w:tc>
          <w:tcPr>
            <w:tcW w:w="1632" w:type="dxa"/>
          </w:tcPr>
          <w:p w:rsidR="009520A9" w:rsidRDefault="00770482">
            <w:pPr>
              <w:jc w:val="right"/>
            </w:pPr>
            <w:r>
              <w:t>11.483.627</w:t>
            </w:r>
          </w:p>
        </w:tc>
        <w:tc>
          <w:tcPr>
            <w:tcW w:w="510" w:type="dxa"/>
          </w:tcPr>
          <w:p w:rsidR="009520A9" w:rsidRDefault="00770482">
            <w:pPr>
              <w:jc w:val="right"/>
            </w:pPr>
            <w:r>
              <w:t>96,4</w:t>
            </w:r>
          </w:p>
        </w:tc>
      </w:tr>
    </w:tbl>
    <w:p w:rsidR="009520A9" w:rsidRDefault="009520A9">
      <w:pPr>
        <w:jc w:val="left"/>
      </w:pPr>
    </w:p>
    <w:p w:rsidR="009520A9" w:rsidRDefault="00770482">
      <w:pPr>
        <w:pStyle w:val="Heading3"/>
      </w:pPr>
      <w:r>
        <w:rPr>
          <w:rFonts w:cs="Times New Roman"/>
        </w:rPr>
        <w:t>3701 RAZVOJ ODGOJNO OBRAZOVNOG SUSTAVA</w:t>
      </w:r>
    </w:p>
    <w:tbl>
      <w:tblPr>
        <w:tblStyle w:val="StilTablice"/>
        <w:tblW w:w="10206" w:type="dxa"/>
        <w:jc w:val="center"/>
        <w:tblLook w:val="04A0" w:firstRow="1" w:lastRow="0" w:firstColumn="1" w:lastColumn="0" w:noHBand="0" w:noVBand="1"/>
      </w:tblPr>
      <w:tblGrid>
        <w:gridCol w:w="1421"/>
        <w:gridCol w:w="1555"/>
        <w:gridCol w:w="1565"/>
        <w:gridCol w:w="1565"/>
        <w:gridCol w:w="1565"/>
        <w:gridCol w:w="1565"/>
        <w:gridCol w:w="970"/>
      </w:tblGrid>
      <w:tr w:rsidR="009520A9">
        <w:trPr>
          <w:jc w:val="center"/>
        </w:trPr>
        <w:tc>
          <w:tcPr>
            <w:tcW w:w="1530" w:type="dxa"/>
            <w:shd w:val="clear" w:color="auto" w:fill="B5C0D8"/>
          </w:tcPr>
          <w:p w:rsidR="009520A9" w:rsidRDefault="009520A9">
            <w:pPr>
              <w:pStyle w:val="CellHeader"/>
            </w:pPr>
          </w:p>
        </w:tc>
        <w:tc>
          <w:tcPr>
            <w:tcW w:w="1632" w:type="dxa"/>
            <w:shd w:val="clear" w:color="auto" w:fill="B5C0D8"/>
          </w:tcPr>
          <w:p w:rsidR="009520A9" w:rsidRDefault="00770482">
            <w:pPr>
              <w:pStyle w:val="CellHeader"/>
            </w:pPr>
            <w:r>
              <w:rPr>
                <w:rFonts w:cs="Times New Roman"/>
              </w:rPr>
              <w:t>Izvršenje 2022.</w:t>
            </w:r>
          </w:p>
        </w:tc>
        <w:tc>
          <w:tcPr>
            <w:tcW w:w="1632" w:type="dxa"/>
            <w:shd w:val="clear" w:color="auto" w:fill="B5C0D8"/>
          </w:tcPr>
          <w:p w:rsidR="009520A9" w:rsidRDefault="00770482">
            <w:pPr>
              <w:pStyle w:val="CellHeader"/>
            </w:pPr>
            <w:r>
              <w:rPr>
                <w:rFonts w:cs="Times New Roman"/>
              </w:rPr>
              <w:t>Plan 2023.</w:t>
            </w:r>
          </w:p>
        </w:tc>
        <w:tc>
          <w:tcPr>
            <w:tcW w:w="1632" w:type="dxa"/>
            <w:shd w:val="clear" w:color="auto" w:fill="B5C0D8"/>
          </w:tcPr>
          <w:p w:rsidR="009520A9" w:rsidRDefault="00770482">
            <w:pPr>
              <w:pStyle w:val="CellHeader"/>
            </w:pPr>
            <w:r>
              <w:rPr>
                <w:rFonts w:cs="Times New Roman"/>
              </w:rPr>
              <w:t>Plan 2024.</w:t>
            </w:r>
          </w:p>
        </w:tc>
        <w:tc>
          <w:tcPr>
            <w:tcW w:w="1632" w:type="dxa"/>
            <w:shd w:val="clear" w:color="auto" w:fill="B5C0D8"/>
          </w:tcPr>
          <w:p w:rsidR="009520A9" w:rsidRDefault="00770482">
            <w:pPr>
              <w:pStyle w:val="CellHeader"/>
            </w:pPr>
            <w:r>
              <w:rPr>
                <w:rFonts w:cs="Times New Roman"/>
              </w:rPr>
              <w:t>Plan 2025.</w:t>
            </w:r>
          </w:p>
        </w:tc>
        <w:tc>
          <w:tcPr>
            <w:tcW w:w="1632" w:type="dxa"/>
            <w:shd w:val="clear" w:color="auto" w:fill="B5C0D8"/>
          </w:tcPr>
          <w:p w:rsidR="009520A9" w:rsidRDefault="00770482">
            <w:pPr>
              <w:pStyle w:val="CellHead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3701</w:t>
            </w:r>
          </w:p>
        </w:tc>
        <w:tc>
          <w:tcPr>
            <w:tcW w:w="1632" w:type="dxa"/>
            <w:vAlign w:val="top"/>
          </w:tcPr>
          <w:p w:rsidR="009520A9" w:rsidRDefault="00770482">
            <w:pPr>
              <w:jc w:val="right"/>
            </w:pPr>
            <w:r>
              <w:t>6.625.337</w:t>
            </w:r>
          </w:p>
        </w:tc>
        <w:tc>
          <w:tcPr>
            <w:tcW w:w="1632" w:type="dxa"/>
            <w:vAlign w:val="top"/>
          </w:tcPr>
          <w:p w:rsidR="009520A9" w:rsidRDefault="00770482">
            <w:pPr>
              <w:jc w:val="right"/>
            </w:pPr>
            <w:r>
              <w:t>12.212.183</w:t>
            </w:r>
          </w:p>
        </w:tc>
        <w:tc>
          <w:tcPr>
            <w:tcW w:w="1632" w:type="dxa"/>
            <w:vAlign w:val="top"/>
          </w:tcPr>
          <w:p w:rsidR="009520A9" w:rsidRDefault="00770482">
            <w:pPr>
              <w:jc w:val="right"/>
            </w:pPr>
            <w:r>
              <w:t>11.775.663</w:t>
            </w:r>
          </w:p>
        </w:tc>
        <w:tc>
          <w:tcPr>
            <w:tcW w:w="1632" w:type="dxa"/>
            <w:vAlign w:val="top"/>
          </w:tcPr>
          <w:p w:rsidR="009520A9" w:rsidRDefault="00770482">
            <w:pPr>
              <w:jc w:val="right"/>
            </w:pPr>
            <w:r>
              <w:t>11.496.217</w:t>
            </w:r>
          </w:p>
        </w:tc>
        <w:tc>
          <w:tcPr>
            <w:tcW w:w="1632" w:type="dxa"/>
            <w:vAlign w:val="top"/>
          </w:tcPr>
          <w:p w:rsidR="009520A9" w:rsidRDefault="00770482">
            <w:pPr>
              <w:jc w:val="right"/>
            </w:pPr>
            <w:r>
              <w:t>11.483.627</w:t>
            </w:r>
          </w:p>
        </w:tc>
        <w:tc>
          <w:tcPr>
            <w:tcW w:w="510" w:type="dxa"/>
            <w:vAlign w:val="top"/>
          </w:tcPr>
          <w:p w:rsidR="009520A9" w:rsidRDefault="00770482">
            <w:pPr>
              <w:jc w:val="right"/>
            </w:pPr>
            <w:r>
              <w:t>96,4</w:t>
            </w:r>
          </w:p>
        </w:tc>
      </w:tr>
    </w:tbl>
    <w:p w:rsidR="009520A9" w:rsidRDefault="009520A9">
      <w:pPr>
        <w:jc w:val="left"/>
      </w:pPr>
    </w:p>
    <w:p w:rsidR="009520A9" w:rsidRDefault="00770482">
      <w:pPr>
        <w:pStyle w:val="Heading8"/>
        <w:jc w:val="left"/>
      </w:pPr>
      <w:r>
        <w:t xml:space="preserve">Cilj 1. Kvalitetan sustav odgoja i obrazovanja </w:t>
      </w:r>
    </w:p>
    <w:p w:rsidR="009520A9" w:rsidRDefault="0077048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učinka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Udio pristupnika koji su položili ispite državne mature</w:t>
            </w:r>
          </w:p>
        </w:tc>
        <w:tc>
          <w:tcPr>
            <w:tcW w:w="2245" w:type="dxa"/>
            <w:vAlign w:val="top"/>
          </w:tcPr>
          <w:p w:rsidR="009520A9" w:rsidRDefault="00770482">
            <w:pPr>
              <w:pStyle w:val="CellColumn"/>
              <w:jc w:val="left"/>
            </w:pPr>
            <w:r>
              <w:rPr>
                <w:rFonts w:cs="Times New Roman"/>
              </w:rPr>
              <w:t>Učenicima završnih razreda srednje škole omogućen pristup tercijarnomu obrazovanju te polaganje ispita državne mature pod jednakim uvjetima</w:t>
            </w:r>
          </w:p>
        </w:tc>
        <w:tc>
          <w:tcPr>
            <w:tcW w:w="918" w:type="dxa"/>
          </w:tcPr>
          <w:p w:rsidR="009520A9" w:rsidRDefault="00770482">
            <w:pPr>
              <w:jc w:val="center"/>
            </w:pPr>
            <w:r>
              <w:t>Postotak učenika</w:t>
            </w:r>
          </w:p>
        </w:tc>
        <w:tc>
          <w:tcPr>
            <w:tcW w:w="918" w:type="dxa"/>
          </w:tcPr>
          <w:p w:rsidR="009520A9" w:rsidRDefault="00770482">
            <w:pPr>
              <w:jc w:val="center"/>
            </w:pPr>
            <w:r>
              <w:t>98</w:t>
            </w:r>
          </w:p>
        </w:tc>
        <w:tc>
          <w:tcPr>
            <w:tcW w:w="918" w:type="dxa"/>
          </w:tcPr>
          <w:p w:rsidR="009520A9" w:rsidRDefault="00770482">
            <w:pPr>
              <w:pStyle w:val="CellColumn"/>
              <w:jc w:val="center"/>
            </w:pPr>
            <w:r>
              <w:rPr>
                <w:rFonts w:cs="Times New Roman"/>
              </w:rPr>
              <w:t>NCVVO</w:t>
            </w:r>
          </w:p>
        </w:tc>
        <w:tc>
          <w:tcPr>
            <w:tcW w:w="918" w:type="dxa"/>
          </w:tcPr>
          <w:p w:rsidR="009520A9" w:rsidRDefault="00770482">
            <w:pPr>
              <w:jc w:val="center"/>
            </w:pPr>
            <w:r>
              <w:t>98</w:t>
            </w:r>
          </w:p>
        </w:tc>
        <w:tc>
          <w:tcPr>
            <w:tcW w:w="918" w:type="dxa"/>
          </w:tcPr>
          <w:p w:rsidR="009520A9" w:rsidRDefault="00770482">
            <w:pPr>
              <w:jc w:val="center"/>
            </w:pPr>
            <w:r>
              <w:t>98</w:t>
            </w:r>
          </w:p>
        </w:tc>
        <w:tc>
          <w:tcPr>
            <w:tcW w:w="918" w:type="dxa"/>
          </w:tcPr>
          <w:p w:rsidR="009520A9" w:rsidRDefault="00770482">
            <w:pPr>
              <w:jc w:val="center"/>
            </w:pPr>
            <w:r>
              <w:t>98</w:t>
            </w:r>
          </w:p>
        </w:tc>
      </w:tr>
    </w:tbl>
    <w:p w:rsidR="009520A9" w:rsidRDefault="009520A9">
      <w:pPr>
        <w:jc w:val="left"/>
      </w:pPr>
    </w:p>
    <w:p w:rsidR="009520A9" w:rsidRDefault="00770482">
      <w:pPr>
        <w:pStyle w:val="Heading4"/>
      </w:pPr>
      <w:r>
        <w:t>A580046 ADMINISTRACIJA I UPRAVLJANJE NACIONALNOG CENTRA ZA VANJSKO VREDNOVANJE OBRAZOVANJA</w:t>
      </w:r>
    </w:p>
    <w:p w:rsidR="009520A9" w:rsidRDefault="00770482">
      <w:pPr>
        <w:pStyle w:val="Heading8"/>
        <w:jc w:val="left"/>
      </w:pPr>
      <w:r>
        <w:t>Zakonske i druge pravne osnove</w:t>
      </w:r>
    </w:p>
    <w:p w:rsidR="009520A9" w:rsidRDefault="00770482">
      <w:r>
        <w:t>Zakon o Nacionalnom centru za vanjsko vrednovanje obrazovanja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A580046</w:t>
            </w:r>
          </w:p>
        </w:tc>
        <w:tc>
          <w:tcPr>
            <w:tcW w:w="1632" w:type="dxa"/>
            <w:vAlign w:val="top"/>
          </w:tcPr>
          <w:p w:rsidR="009520A9" w:rsidRDefault="00770482">
            <w:pPr>
              <w:jc w:val="right"/>
            </w:pPr>
            <w:r>
              <w:t>1.581.099</w:t>
            </w:r>
          </w:p>
        </w:tc>
        <w:tc>
          <w:tcPr>
            <w:tcW w:w="1632" w:type="dxa"/>
            <w:vAlign w:val="top"/>
          </w:tcPr>
          <w:p w:rsidR="009520A9" w:rsidRDefault="00770482">
            <w:pPr>
              <w:jc w:val="right"/>
            </w:pPr>
            <w:r>
              <w:t>2.134.469</w:t>
            </w:r>
          </w:p>
        </w:tc>
        <w:tc>
          <w:tcPr>
            <w:tcW w:w="1632" w:type="dxa"/>
            <w:vAlign w:val="top"/>
          </w:tcPr>
          <w:p w:rsidR="009520A9" w:rsidRDefault="00770482">
            <w:pPr>
              <w:jc w:val="right"/>
            </w:pPr>
            <w:r>
              <w:t>2.339.221</w:t>
            </w:r>
          </w:p>
        </w:tc>
        <w:tc>
          <w:tcPr>
            <w:tcW w:w="1632" w:type="dxa"/>
            <w:vAlign w:val="top"/>
          </w:tcPr>
          <w:p w:rsidR="009520A9" w:rsidRDefault="00770482">
            <w:pPr>
              <w:jc w:val="right"/>
            </w:pPr>
            <w:r>
              <w:t>2.357.493</w:t>
            </w:r>
          </w:p>
        </w:tc>
        <w:tc>
          <w:tcPr>
            <w:tcW w:w="1632" w:type="dxa"/>
            <w:vAlign w:val="top"/>
          </w:tcPr>
          <w:p w:rsidR="009520A9" w:rsidRDefault="00770482">
            <w:pPr>
              <w:jc w:val="right"/>
            </w:pPr>
            <w:r>
              <w:t>2.344.903</w:t>
            </w:r>
          </w:p>
        </w:tc>
        <w:tc>
          <w:tcPr>
            <w:tcW w:w="510" w:type="dxa"/>
            <w:vAlign w:val="top"/>
          </w:tcPr>
          <w:p w:rsidR="009520A9" w:rsidRDefault="00770482">
            <w:pPr>
              <w:jc w:val="right"/>
            </w:pPr>
            <w:r>
              <w:t>109,6</w:t>
            </w:r>
          </w:p>
        </w:tc>
      </w:tr>
    </w:tbl>
    <w:p w:rsidR="009520A9" w:rsidRDefault="009520A9">
      <w:pPr>
        <w:jc w:val="left"/>
      </w:pPr>
    </w:p>
    <w:p w:rsidR="009520A9" w:rsidRDefault="00770482">
      <w:r>
        <w:t xml:space="preserve">U okviru aktivnosti Administracija i upravljanje Nacionalnoga centra za vanjsko vrednovanje obrazovanja osiguravaju se sredstva za redovno poslovanje.   </w:t>
      </w:r>
    </w:p>
    <w:p w:rsidR="009520A9" w:rsidRDefault="00770482">
      <w:r>
        <w:t>Rashodi za zaposlene za 2024. godinu planirani su na temelju 65 postojećih djelatnika te planiranog zapošljavanja 12 osoba. Odnose se na bruto plaće s doprinosima poslodavca u iznosu od 1.537.174,00 EUR. S iste aktivnosti podmiruju se i ostale naknade zapo</w:t>
      </w:r>
      <w:r>
        <w:t xml:space="preserve">slenima kao što su božićnica i regres, dar za djecu, jubilarne nagrade, otpremnine, pomoći djelatnicima te ostali rashodi za zaposlene.  </w:t>
      </w:r>
    </w:p>
    <w:p w:rsidR="009520A9" w:rsidRDefault="00770482">
      <w:r>
        <w:t>Planom su obuhvaćene naknade troškova djelatnicima za službena putovanja, naknade za prijevoz na posao i s posla, stru</w:t>
      </w:r>
      <w:r>
        <w:t xml:space="preserve">čno usavršavanje djelatnika te ostale naknade troškova zaposlenima u ukupnome iznosu od 49.133,00 EUR.  </w:t>
      </w:r>
    </w:p>
    <w:p w:rsidR="009520A9" w:rsidRDefault="00770482">
      <w:r>
        <w:t xml:space="preserve">Uredski materijal i ostali materijalni rashodi te rashodi za energiju planirani su u iznosu od 63.037,00 EUR.   </w:t>
      </w:r>
    </w:p>
    <w:p w:rsidR="009520A9" w:rsidRDefault="00770482">
      <w:r>
        <w:t>Rashodi za usluge telefona, pošte i pr</w:t>
      </w:r>
      <w:r>
        <w:t xml:space="preserve">ijevoza, usluge tekućega i investicijskoga održavanja, usluge promidžbe i planiranja te komunalne usluge planirane su u iznosu od 129.215,00 EUR. Trošak zakupnine i najamnine u 2024. godini te licence planirane su u iznosu od 284.018,00 EUR.  </w:t>
      </w:r>
    </w:p>
    <w:p w:rsidR="009520A9" w:rsidRDefault="00770482">
      <w:r>
        <w:t>Rashodi za i</w:t>
      </w:r>
      <w:r>
        <w:t xml:space="preserve">ntelektualne usluge planirani su u iznosu od 130.821,00 EUR i predviđeni su za ugovore o djelu za povremeno obavljanje poslova, usluge pravnoga savjetovanja odvjetnika, studentske poslove te ostale intelektualne usluge.   </w:t>
      </w:r>
    </w:p>
    <w:p w:rsidR="009520A9" w:rsidRDefault="00770482">
      <w:r>
        <w:t>Za održavanje mrežne stranice ncv</w:t>
      </w:r>
      <w:r>
        <w:t>vo.hr, održavanje računovodstvenoga programa te mrežno i sistemsko održavanje za 2024. godinu planirano je 39.817,00 EUR. U okviru aktivnosti Administracija i upravljanje planiraju se sredstva u iznosu od 21.245,00 EUR za nabavu nefinancijske imovine u vid</w:t>
      </w:r>
      <w:r>
        <w:t>u računala, uredskoga namještaja, komunikacijske opreme, te računalne opreme za novo zaposlene (monitori, prijenosna računala, uredski printeri i skeneri).</w:t>
      </w:r>
    </w:p>
    <w:p w:rsidR="009520A9" w:rsidRDefault="00770482">
      <w:pPr>
        <w:pStyle w:val="Heading4"/>
      </w:pPr>
      <w:r>
        <w:t>A814000 MEĐUNARODNI PROJEKTI VREDNOVANJA ZNANJA I VJEŠTINA (IEA: ICCS, ICILS, PIRLS, TIMSS - OECD: P</w:t>
      </w:r>
      <w:r>
        <w:t>ISA, TALIS)</w:t>
      </w:r>
    </w:p>
    <w:p w:rsidR="009520A9" w:rsidRDefault="00770482">
      <w:pPr>
        <w:pStyle w:val="Heading8"/>
        <w:jc w:val="left"/>
      </w:pPr>
      <w:r>
        <w:t>Zakonske i druge pravne osnove</w:t>
      </w:r>
    </w:p>
    <w:p w:rsidR="009520A9" w:rsidRDefault="00770482">
      <w:r>
        <w:t xml:space="preserve">• Zakon o Nacionalnome centru za vanjsko vrednovanje obrazovanja   </w:t>
      </w:r>
    </w:p>
    <w:p w:rsidR="009520A9" w:rsidRDefault="00770482">
      <w:r>
        <w:t>• Nacionalna razvojna strategija Republike Hrvatske do 2030. godine, Strategija obrazovanja, znanosti i tehnologije, Nacionalna strategija stvara</w:t>
      </w:r>
      <w:r>
        <w:t xml:space="preserve">nja poticajnoga okruženja za razvoj civilnoga društva, Nacionalna strategija poticanja čitanja za razdoblje od 2017. do 2022. godine </w:t>
      </w:r>
    </w:p>
    <w:p w:rsidR="009520A9" w:rsidRDefault="00770482">
      <w:r>
        <w:t xml:space="preserve">• Ugovori o sudjelovanju u istraživanjima PISA 2022 i PISA 2025 s Organizacijom za ekonomsku suradnju i razvoj (OECD) </w:t>
      </w:r>
    </w:p>
    <w:p w:rsidR="009520A9" w:rsidRDefault="00770482">
      <w:r>
        <w:t>• U</w:t>
      </w:r>
      <w:r>
        <w:t xml:space="preserve">govor o sudjelovanju u istraživanjima PIRLS 2021 i ICCS 2022 s Međunarodnim udruženjem za vrednovanje obrazovnih postignuća (IEA) </w:t>
      </w:r>
    </w:p>
    <w:p w:rsidR="009520A9" w:rsidRDefault="00770482">
      <w:r>
        <w:t>• Suglasnost Ministarstva znanosti i obrazovanja za uključivanje Republike Hrvatske u istraživanju TALIS 2024</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w:t>
            </w:r>
            <w:r>
              <w:rPr>
                <w:rFonts w:cs="Times New Roman"/>
              </w:rPr>
              <w: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A814000</w:t>
            </w:r>
          </w:p>
        </w:tc>
        <w:tc>
          <w:tcPr>
            <w:tcW w:w="1632" w:type="dxa"/>
            <w:vAlign w:val="top"/>
          </w:tcPr>
          <w:p w:rsidR="009520A9" w:rsidRDefault="00770482">
            <w:pPr>
              <w:jc w:val="right"/>
            </w:pPr>
            <w:r>
              <w:t>487.965</w:t>
            </w:r>
          </w:p>
        </w:tc>
        <w:tc>
          <w:tcPr>
            <w:tcW w:w="1632" w:type="dxa"/>
            <w:vAlign w:val="top"/>
          </w:tcPr>
          <w:p w:rsidR="009520A9" w:rsidRDefault="00770482">
            <w:pPr>
              <w:jc w:val="right"/>
            </w:pPr>
            <w:r>
              <w:t>384.100</w:t>
            </w:r>
          </w:p>
        </w:tc>
        <w:tc>
          <w:tcPr>
            <w:tcW w:w="1632" w:type="dxa"/>
            <w:vAlign w:val="top"/>
          </w:tcPr>
          <w:p w:rsidR="009520A9" w:rsidRDefault="00770482">
            <w:pPr>
              <w:jc w:val="right"/>
            </w:pPr>
            <w:r>
              <w:t>445.036</w:t>
            </w:r>
          </w:p>
        </w:tc>
        <w:tc>
          <w:tcPr>
            <w:tcW w:w="1632" w:type="dxa"/>
            <w:vAlign w:val="top"/>
          </w:tcPr>
          <w:p w:rsidR="009520A9" w:rsidRDefault="00770482">
            <w:pPr>
              <w:jc w:val="right"/>
            </w:pPr>
            <w:r>
              <w:t>402.317</w:t>
            </w:r>
          </w:p>
        </w:tc>
        <w:tc>
          <w:tcPr>
            <w:tcW w:w="1632" w:type="dxa"/>
            <w:vAlign w:val="top"/>
          </w:tcPr>
          <w:p w:rsidR="009520A9" w:rsidRDefault="00770482">
            <w:pPr>
              <w:jc w:val="right"/>
            </w:pPr>
            <w:r>
              <w:t>402.317</w:t>
            </w:r>
          </w:p>
        </w:tc>
        <w:tc>
          <w:tcPr>
            <w:tcW w:w="510" w:type="dxa"/>
            <w:vAlign w:val="top"/>
          </w:tcPr>
          <w:p w:rsidR="009520A9" w:rsidRDefault="00770482">
            <w:pPr>
              <w:jc w:val="right"/>
            </w:pPr>
            <w:r>
              <w:t>115,9</w:t>
            </w:r>
          </w:p>
        </w:tc>
      </w:tr>
    </w:tbl>
    <w:p w:rsidR="009520A9" w:rsidRDefault="009520A9">
      <w:pPr>
        <w:jc w:val="left"/>
      </w:pPr>
    </w:p>
    <w:p w:rsidR="009520A9" w:rsidRDefault="00770482">
      <w:r>
        <w:t>Projekti koji se ostvaruju sredstvima u okviru ove aktivnosti provode se u ciklusima različitoga trajanja i dinamike provedbe te u skladu s time planirana potrošnja po projektu varira u pojedinoj fiskalnoj godini, kao i ukupni dio potrebnih sredstava u poj</w:t>
      </w:r>
      <w:r>
        <w:t xml:space="preserve">edinoj fiskalnoj godini.   </w:t>
      </w:r>
    </w:p>
    <w:p w:rsidR="009520A9" w:rsidRDefault="00770482">
      <w:r>
        <w:t xml:space="preserve">Ova aktivnost sastoji se od sljedećih elemenata:   </w:t>
      </w:r>
    </w:p>
    <w:p w:rsidR="009520A9" w:rsidRDefault="00770482">
      <w:r>
        <w:t xml:space="preserve">1. OECD/PISA 2022 i OECD/PISA 2025  </w:t>
      </w:r>
    </w:p>
    <w:p w:rsidR="009520A9" w:rsidRDefault="00770482">
      <w:r>
        <w:t xml:space="preserve">2. IEA/ICILS 2023   </w:t>
      </w:r>
    </w:p>
    <w:p w:rsidR="009520A9" w:rsidRDefault="00770482">
      <w:r>
        <w:t xml:space="preserve">3. OECD/TALIS 2024.  </w:t>
      </w:r>
    </w:p>
    <w:p w:rsidR="009520A9" w:rsidRDefault="00770482">
      <w:r>
        <w:t xml:space="preserve">  </w:t>
      </w:r>
    </w:p>
    <w:p w:rsidR="009520A9" w:rsidRDefault="00770482">
      <w:r>
        <w:t xml:space="preserve">Od 2024. do 2026. godine očekuje se ostvarenje sljedećega:   </w:t>
      </w:r>
    </w:p>
    <w:p w:rsidR="009520A9" w:rsidRDefault="00770482">
      <w:r>
        <w:t>•</w:t>
      </w:r>
      <w:r>
        <w:tab/>
        <w:t xml:space="preserve">analize, izvještavanje i diseminacija rezultata iz dodatne inovativne domene kreativnog mišljenja u istraživanju OECD/PISA 2022  </w:t>
      </w:r>
    </w:p>
    <w:p w:rsidR="009520A9" w:rsidRDefault="00770482">
      <w:r>
        <w:t>•</w:t>
      </w:r>
      <w:r>
        <w:tab/>
        <w:t xml:space="preserve">analize, izvještavanje i diseminacija rezultata glavnoga istraživanja IEA/ICILS 2023  </w:t>
      </w:r>
    </w:p>
    <w:p w:rsidR="009520A9" w:rsidRDefault="00770482">
      <w:r>
        <w:t>•</w:t>
      </w:r>
      <w:r>
        <w:tab/>
        <w:t>provedba probnoga i glavnoga istr</w:t>
      </w:r>
      <w:r>
        <w:t xml:space="preserve">aživanja OECD/PISA 2025 </w:t>
      </w:r>
    </w:p>
    <w:p w:rsidR="009520A9" w:rsidRDefault="00770482">
      <w:r>
        <w:t>•</w:t>
      </w:r>
      <w:r>
        <w:tab/>
        <w:t xml:space="preserve">provedba glavnoga istraživanja OECD/TALIS 2024 te analize, izvještavanje i diseminacija rezultata  </w:t>
      </w:r>
    </w:p>
    <w:p w:rsidR="009520A9" w:rsidRDefault="00770482">
      <w:r>
        <w:t>1.</w:t>
      </w:r>
      <w:r>
        <w:tab/>
        <w:t xml:space="preserve">OECD/PISA 2022 i OECD/PISA 2025 </w:t>
      </w:r>
    </w:p>
    <w:p w:rsidR="009520A9" w:rsidRDefault="00770482">
      <w:r>
        <w:t>Provedbom istraživanja OECD/PISA omogućuje se vrednovanje i usporedba kvalitete i učinkovitos</w:t>
      </w:r>
      <w:r>
        <w:t>ti hrvatskoga odgojno-obrazovnog sustava u međunarodnom kontekstu kroz ispitivanje ključnih znanja i kompetencija petnaestogodišnjih učenika u čitalačkoj, matematičkoj i prirodoslovnoj pismenosti te dodatnim domenama poput kreativnoga mišljenja, stranih je</w:t>
      </w:r>
      <w:r>
        <w:t>zika itd.  Glavni cilj provedbe ovoga istraživanja u Republici Hrvatskoj jest prikupiti egzaktne empirijske pokazatelje koji će poslužiti kao temelj za razvoj novih i unapređivanje postojećih obrazovnih politika, a s ciljem dostizanja prosjeka zemalja OECD</w:t>
      </w:r>
      <w:r>
        <w:t xml:space="preserve">-a u čitalačkoj, matematičkoj i prirodoslovnoj pismenosti (strateški cilj 2. Obrazovani i zaposleni ljudi Nacionalne razvojne strategije Republike Hrvatske do 2030. godine). </w:t>
      </w:r>
    </w:p>
    <w:p w:rsidR="009520A9" w:rsidRDefault="00770482">
      <w:r>
        <w:t>PISA istraživanja provode se u trogodišnjim ciklusima koji se međusobno preklapaj</w:t>
      </w:r>
      <w:r>
        <w:t xml:space="preserve">u.  </w:t>
      </w:r>
    </w:p>
    <w:p w:rsidR="009520A9" w:rsidRDefault="00770482">
      <w:r>
        <w:t>U 2024. godini planiraju se analize podataka iz područja kreativnog mišljenja koje se ispitivalo u sklopu istraživanja PISA 2022 te službena objava rezultata i objava nacionalnoga izvješća. Također, u proljeće 2024. godine u 93 srednje škole provest ć</w:t>
      </w:r>
      <w:r>
        <w:t>e se probno ispitivanje u sklopu novoga ciklusa PISA istraživanja (PISA 2025). Novi ciklus PISA 2025 usmjeren je na prirodoslovnu pismenost učenika, dok su čitalačka i matematička pismenost sporedne ispitne domene. Uz to, u ovom se ciklusu istraživanja isp</w:t>
      </w:r>
      <w:r>
        <w:t xml:space="preserve">ituju i dva dodatna ispitna područja: strani jezici (engleski jezik) te domena učenja u digitalnome svijetu. Tijekom 2024. godine planira se i nastavak diseminacije svih rezultata i pokazatelja prikupljenih istraživanjem PISA 2022. </w:t>
      </w:r>
    </w:p>
    <w:p w:rsidR="009520A9" w:rsidRDefault="00770482">
      <w:r>
        <w:t xml:space="preserve">U 2025. godini planira </w:t>
      </w:r>
      <w:r>
        <w:t xml:space="preserve">se provedba glavnoga istraživanja PISA 2025 u oko 200 srednjih škola te nastavak diseminacije svih rezultata i pokazatelja prikupljenih istraživanjem PISA 2022. </w:t>
      </w:r>
    </w:p>
    <w:p w:rsidR="009520A9" w:rsidRDefault="00770482">
      <w:r>
        <w:t>U 2026. godini planiraju se analize rezultata prikupljenih glavnim istraživanjem PISA 2025, ka</w:t>
      </w:r>
      <w:r>
        <w:t xml:space="preserve">o i priprema nacionalnog izvješća te objava i diseminacija rezultata. </w:t>
      </w:r>
    </w:p>
    <w:p w:rsidR="009520A9" w:rsidRDefault="00770482">
      <w:r>
        <w:t xml:space="preserve">Izračun financijskoga plana </w:t>
      </w:r>
    </w:p>
    <w:p w:rsidR="009520A9" w:rsidRDefault="00770482">
      <w:r>
        <w:t xml:space="preserve">1. Godišnja članarina za sudjelovanje u istraživanju </w:t>
      </w:r>
    </w:p>
    <w:p w:rsidR="009520A9" w:rsidRDefault="00770482">
      <w:r>
        <w:t xml:space="preserve">U 2024. godini planirana su sredstva za godišnju članarinu za sudjelovanje u PISA 2025 istraživanju u </w:t>
      </w:r>
      <w:r>
        <w:t xml:space="preserve">iznosu od 68.000,00 EUR. Sredstva su u istom iznosu planirana i za 2025. i za 2026. godinu. </w:t>
      </w:r>
    </w:p>
    <w:p w:rsidR="009520A9" w:rsidRDefault="00770482">
      <w:r>
        <w:t xml:space="preserve">2. Obvezatni međunarodni sastanci i edukacije  </w:t>
      </w:r>
    </w:p>
    <w:p w:rsidR="009520A9" w:rsidRDefault="00770482">
      <w:r>
        <w:t>Za sudjelovanje na dvama obvezatnim međunarodnim sastancima OECD/PISA upravnoga odbora te više obvezatnih sastanaka</w:t>
      </w:r>
      <w:r>
        <w:t xml:space="preserve"> nacionalnoga voditelja projekta te stručnjaka za uzorkovanje i za upravljanje podatcima  u 2024. godini planirano je 20.000,00 EUR. Sredstva su u istom iznosu planirana i za 2025. i za 2026. godinu. U 2024. i 2025. godini također su planirana sredstva za </w:t>
      </w:r>
      <w:r>
        <w:t xml:space="preserve">putne troškove osoba koje će provoditi nadzor provedbe PISA 2025 probnoga i glavnoga istraživanja u uzorkovanim školama.  </w:t>
      </w:r>
    </w:p>
    <w:p w:rsidR="009520A9" w:rsidRDefault="00770482">
      <w:r>
        <w:t xml:space="preserve">3. Naknade vanjskim suradnicima </w:t>
      </w:r>
    </w:p>
    <w:p w:rsidR="009520A9" w:rsidRDefault="00770482">
      <w:r>
        <w:t>Za troškove prevođenja i adaptacije materiala za ocjenjivanje PISA 2025 zadataka u probnome istraživ</w:t>
      </w:r>
      <w:r>
        <w:t>anju te troškove adaptacije i prevođenja PISA 2025 zadataka za glavno istraživanje u 2024. godini planirano je 15.000,00 EUR. Za troškove prijevoda publikacija i informatifvnih materijala u 2025. godini planirano je 3.000,00 EUR. Za statističke analize pod</w:t>
      </w:r>
      <w:r>
        <w:t>ataka iz PISA 2022 istraživanja (kreativno mišljenje), rad stručnih radnih skupina i izradu nacionalnih i tematskih izvješća u 2024. godini planirana su sredstva u iznosu od 5.000,00 EUR, a u 2025. godini u iznosu od 2.000,00 EUR. Za analize podataka iz is</w:t>
      </w:r>
      <w:r>
        <w:t xml:space="preserve">traživanja PISA 2025 i pripremu nacionalnog izvješća planirana su sredstva u iznosu od 5.000,00 EUR u 2026. godini. Za ocjenjivanje ispita te kodiranje i unos podataka planirana su sredstva u iznosu od 15.000,00 EUR u 2024. godini (probno istraživanje) te </w:t>
      </w:r>
      <w:r>
        <w:t xml:space="preserve">37.000,00 EUR u 2025. godini (glavno istraživanje). Za naknade školskim koordinatorima i voditeljima ispitivanja za pripremu i provedbu PISA testiranja u školama planirana su sredstva u iznosu od 15.000,00 EUR u 2024. godini te u iznosu od 30.000,00 EUR u </w:t>
      </w:r>
      <w:r>
        <w:t xml:space="preserve">2025. godini. </w:t>
      </w:r>
    </w:p>
    <w:p w:rsidR="009520A9" w:rsidRDefault="00770482">
      <w:r>
        <w:t xml:space="preserve">4. Tisak </w:t>
      </w:r>
    </w:p>
    <w:p w:rsidR="009520A9" w:rsidRDefault="00770482">
      <w:r>
        <w:t xml:space="preserve">Za troškove tiska nacionalnog izvješća s drugim dijelom rezultata PISA 2022 istraživanja (kreativno mišljenje) u 2024. godini planirana su sredstva u iznosu od 5.300,00 EUR. Za troškove tiska informativnog i ispitnog materijala te </w:t>
      </w:r>
      <w:r>
        <w:t>popratnih obrazaca u istraživanju PISA 2025 u 2024. godini planirana su sredstva u iznosu od 2.000,00 EUR, a u 2025. godini u iznosu od 5.000 EUR. Za troškove tiska nacionalnog izvješća s prvim dijelom rezultata iz istraživanja PISA 2025 u 2026. godini pla</w:t>
      </w:r>
      <w:r>
        <w:t xml:space="preserve">nirana su sredstva u iznosu od 3.000,00 EUR. </w:t>
      </w:r>
    </w:p>
    <w:p w:rsidR="009520A9" w:rsidRDefault="00770482">
      <w:r>
        <w:t xml:space="preserve">5. Nabava račualne opreme </w:t>
      </w:r>
    </w:p>
    <w:p w:rsidR="009520A9" w:rsidRDefault="00770482">
      <w:r>
        <w:t xml:space="preserve">Za troškove nabave audio opreme (naglavnih slušalica za učenike) za potrebe ispitivanja engleskoga jezika kao stranog jezika u probnom istraživanju PISA 2025 u 2024. godini planirana </w:t>
      </w:r>
      <w:r>
        <w:t xml:space="preserve">su sredstva u iznosu od 12.000 EUR (za 720 učenika). Isti iznos planiran je i za nabavu audio opreme u 2025. godini za potrebe glavnog ispitivanja PISA 2025 (za 1600 učenika). </w:t>
      </w:r>
    </w:p>
    <w:p w:rsidR="009520A9" w:rsidRDefault="00770482">
      <w:r>
        <w:t xml:space="preserve">6. Poštarine </w:t>
      </w:r>
    </w:p>
    <w:p w:rsidR="009520A9" w:rsidRDefault="00770482">
      <w:r>
        <w:t>Za troškove slanja ispitnog materijala i audio opreme u uzorkovan</w:t>
      </w:r>
      <w:r>
        <w:t xml:space="preserve">e škole za potrebe probnoga istraživanja PISA 2025 u 2024. godini planirana su sredstva u iznosu od 3.300,00 EUR, a u 2025. godini sredstva u iznosu od 7.000,00 EUR. </w:t>
      </w:r>
    </w:p>
    <w:p w:rsidR="009520A9" w:rsidRDefault="00770482">
      <w:r>
        <w:t xml:space="preserve"> </w:t>
      </w:r>
    </w:p>
    <w:p w:rsidR="009520A9" w:rsidRDefault="00770482">
      <w:r>
        <w:t xml:space="preserve">2. IEA/ICILS 2023  </w:t>
      </w:r>
    </w:p>
    <w:p w:rsidR="009520A9" w:rsidRDefault="00770482">
      <w:r>
        <w:t>Međunarodno istraživanje računalne i informacijske pismenosti ICILS prvo je međunarodno obrazovno istraživanje koje ispituje pripremljenost učenika za život u digitalnome dobu. Glavni je cilj ICILS istraživanja istražiti načine na koje mladi razvijaju raču</w:t>
      </w:r>
      <w:r>
        <w:t>nalnu i informacijsku pismenost kako bi što uspješnije sudjelovali u suvremenome digitalnom dobu. U skladu s tim glavna istraživačka pitanja odnose se na kontekste u kojima se razvija računalna i informacijska pismenost te na znanja i sposobnosti učenika u</w:t>
      </w:r>
      <w:r>
        <w:t xml:space="preserve"> računalnoj i informacijskoj pismenosti. Prvi ciklus ovoga istraživanja, ICILS 2013, u kojem je sudjelovala i Republika Hrvatska, bio je usmjeren na računalnu i informacijsku pismenost učenika u dobi od 14 godina. Upitnik za učenike sadržavao je pitanja o </w:t>
      </w:r>
      <w:r>
        <w:t>korištenju računala u školi i izvan nje, o stavovima učenika o ICT-u, o njihovoj razini samoučinkovitosti prilikom korištenja računala te o njihovim demografskim karakteristikama. Osim učenika, u ciklusu ICILS 2013 anketirani su i njihovi učitelji, ravnate</w:t>
      </w:r>
      <w:r>
        <w:t xml:space="preserve">lji i ICT administratori (informatičari) škola koje pohađaju uzorkovani učenici.  </w:t>
      </w:r>
    </w:p>
    <w:p w:rsidR="009520A9" w:rsidRDefault="00770482">
      <w:r>
        <w:t>Republika se Hrvatska nakon propuštenoga ciklusa ICILS 2018, a zbog izvanredne važnosti ove tematike pridružila istraživanju u ciklusu ICILS 2023. U 2023. godini provedeno j</w:t>
      </w:r>
      <w:r>
        <w:t xml:space="preserve">e glavno ispitivanje, a u 2024. godini planiraju se analize rezultata i podataka, kao i službena objava i diseminacija rezultata. </w:t>
      </w:r>
    </w:p>
    <w:p w:rsidR="009520A9" w:rsidRDefault="00770482">
      <w:r>
        <w:t xml:space="preserve">Izračun financijskoga plana  </w:t>
      </w:r>
    </w:p>
    <w:p w:rsidR="009520A9" w:rsidRDefault="00770482">
      <w:r>
        <w:t>1.</w:t>
      </w:r>
      <w:r>
        <w:tab/>
        <w:t xml:space="preserve">Godišnja članarina za sudjelovanje u istraživanju </w:t>
      </w:r>
    </w:p>
    <w:p w:rsidR="009520A9" w:rsidRDefault="00770482">
      <w:r>
        <w:t>U 2024. godini planirana su sredstva u iz</w:t>
      </w:r>
      <w:r>
        <w:t xml:space="preserve">nosu od 36.997,00 EUR za plaćanje godišnje članarine za sudjelovanje u istraživanju. U 2025. i 2026. godini nije predviđeno plaćanje članarine zbog završetka ciklusa istraživanja. </w:t>
      </w:r>
    </w:p>
    <w:p w:rsidR="009520A9" w:rsidRDefault="00770482">
      <w:r>
        <w:t>2.</w:t>
      </w:r>
      <w:r>
        <w:tab/>
        <w:t xml:space="preserve">Međunarodni sastanci i edukacije  </w:t>
      </w:r>
    </w:p>
    <w:p w:rsidR="009520A9" w:rsidRDefault="00770482">
      <w:r>
        <w:t>U 2024. godini planirano je približno</w:t>
      </w:r>
      <w:r>
        <w:t xml:space="preserve"> 1.500,00 EUR za jedan obvezni međunarodni sastanak za nacionalnoga koordinatora istraživanja. U 2025. i 2026. godini nisu predviđeni međunarodni sastanci zbog završetka ciklusa istraživanja. </w:t>
      </w:r>
    </w:p>
    <w:p w:rsidR="009520A9" w:rsidRDefault="00770482">
      <w:r>
        <w:t xml:space="preserve">5. </w:t>
      </w:r>
      <w:r>
        <w:tab/>
        <w:t xml:space="preserve">Naknade vanjskim suradnicima </w:t>
      </w:r>
    </w:p>
    <w:p w:rsidR="009520A9" w:rsidRDefault="00770482">
      <w:r>
        <w:t>U 2024. godini za naknadu van</w:t>
      </w:r>
      <w:r>
        <w:t xml:space="preserve">jskom suradniku za rad na izradi statističkih analiza i sudjelovanje u pisanju nacionalnog izvještaja planirano je 3.000,00 EUR. U 2025. i 2026. godini nisu planirane naknade vanjskim suradnicima zbog završetka ciklusa istraživanja. </w:t>
      </w:r>
    </w:p>
    <w:p w:rsidR="009520A9" w:rsidRDefault="00770482">
      <w:r>
        <w:t xml:space="preserve"> </w:t>
      </w:r>
    </w:p>
    <w:p w:rsidR="009520A9" w:rsidRDefault="00770482">
      <w:r>
        <w:t xml:space="preserve">3. OECD/TALIS 2024  </w:t>
      </w:r>
    </w:p>
    <w:p w:rsidR="009520A9" w:rsidRDefault="00770482">
      <w:r>
        <w:t>Provedbom istraživanja OECD/TALIS 2024 omogućuje se prikupljanje i usporedba relevantnih međunarodnih indikatora potrebnih za usmjeravanje i razvoj nacionalne obrazovne politike koja se odnosi na učitelje, nastavnike i ravnatelje osnovnih i srednjih škola</w:t>
      </w:r>
      <w:r>
        <w:t>. Glavni cilj provedbe ovoga istraživanja u Republici Hrvatskoj jest prikupiti egzaktne empirijske pokazatelje koji će poslužiti kao temelj za razvoj novih i unapređivanje postojećih obrazovnih politika vezanih uz učitelje, nastavnike i ravnatelje škola, a</w:t>
      </w:r>
      <w:r>
        <w:t xml:space="preserve"> s ciljem postizanja strateškog cilja 2. Obrazovani i zaposleni ljudi Nacionalne razvojne strategije Republike Hrvatske do 2030. godine.  </w:t>
      </w:r>
    </w:p>
    <w:p w:rsidR="009520A9" w:rsidRDefault="00770482">
      <w:r>
        <w:t>Republika Hrvatska u TALIS istraživanjima sudjeluje od 2011. godine (TALIS 2013). TALIS 2024 četvrti je ciklus istraž</w:t>
      </w:r>
      <w:r>
        <w:t xml:space="preserve">ivanja čija je provedba započela 2020. godine, a završava 2026. godine objavama rezultata istraživanja i nizom tematskih izvješća.  </w:t>
      </w:r>
    </w:p>
    <w:p w:rsidR="009520A9" w:rsidRDefault="00770482">
      <w:r>
        <w:t>U okviru ove aktivnosti, u 2024. godini planira se provedba glavnoga ispitivanja u 296 osnovnih i 200 srednjih škola (ukupn</w:t>
      </w:r>
      <w:r>
        <w:t>o oko 13.000 ispitanika). U 2025. godini planiraju se analize prvog dijela podataka (modul ISCED 2 i ISCED 3), izrada nacionalnog izvješća te objava i diseminacija rezultata, dok se u 2026. godini planiraju analize te izrada nacionalnog izvješća s drugim d</w:t>
      </w:r>
      <w:r>
        <w:t xml:space="preserve">ijelom rezultata (modul »Teacher Knowledge Survey). </w:t>
      </w:r>
    </w:p>
    <w:p w:rsidR="009520A9" w:rsidRDefault="00770482">
      <w:r>
        <w:t xml:space="preserve">Izračun financijskoga plana </w:t>
      </w:r>
    </w:p>
    <w:p w:rsidR="009520A9" w:rsidRDefault="00770482">
      <w:r>
        <w:t xml:space="preserve">1. Godišnja članarina za sudjelovanje u istraživanju  </w:t>
      </w:r>
    </w:p>
    <w:p w:rsidR="009520A9" w:rsidRDefault="00770482">
      <w:r>
        <w:t>U 2024. godini planirana su sredstva za godišnju članarinu za sudjelovanje u TALIS 2024 istraživanju u iznosu od 90.249</w:t>
      </w:r>
      <w:r>
        <w:t>,00 EUR. Sredstva su u istom iznosu planirana i za 2024. i 2025. godinu. Republika Hrvatska sudjeluje u 3 modula TALIS 2024 istraživanja (ISCED 2, ISCED 3 i »Teacher Knowledge Survey« modul). Sudjelovanje u osnovnom modulu (ISCED 2) u razdoblju od 2023.-20</w:t>
      </w:r>
      <w:r>
        <w:t xml:space="preserve">25. sufinancira se sredstvima Europske komisije (EK osigurava sredstva u iznosu od 80% osnovne članarine OECD-u). </w:t>
      </w:r>
    </w:p>
    <w:p w:rsidR="009520A9" w:rsidRDefault="00770482">
      <w:r>
        <w:t xml:space="preserve">2. Obvezatni međunarodni sastanci i edukacije </w:t>
      </w:r>
    </w:p>
    <w:p w:rsidR="009520A9" w:rsidRDefault="00770482">
      <w:r>
        <w:t>Za sudjelovanje na obvezatnim međunarodnim sastancima OECD/TALIS upravnoga odbora te obvezatni</w:t>
      </w:r>
      <w:r>
        <w:t xml:space="preserve">m sastancima nacionalnoga voditelja projekta te osoba za upravljanje podatcima  planirana su sredstva u iznosu od 8.500,00 EUR u 2023. godini. Sredstva su u istom iznosu planirana i za 2025. i 2026. godinu.  </w:t>
      </w:r>
    </w:p>
    <w:p w:rsidR="009520A9" w:rsidRDefault="00770482">
      <w:r>
        <w:t xml:space="preserve">3. Naknade vanjskim suradnicima </w:t>
      </w:r>
    </w:p>
    <w:p w:rsidR="009520A9" w:rsidRDefault="00770482">
      <w:r>
        <w:t>Za naknade ško</w:t>
      </w:r>
      <w:r>
        <w:t xml:space="preserve">lskim koordinatorima koji provode TALIS 2024 istraživanje u osnovnim i srednjim školama planirana su sredstva u iznosu od 40.000,00 EUR u 2024. godini (glavno ispitivanje – 500 škola).  </w:t>
      </w:r>
    </w:p>
    <w:p w:rsidR="009520A9" w:rsidRDefault="00770482">
      <w:r>
        <w:t xml:space="preserve">Za statističke analize prvog dijela rezultata i pokazatelja iz TALIS </w:t>
      </w:r>
      <w:r>
        <w:t>2024 istraživanja, rad stručnih radnih skupina i izradu nacionalnih i tematskih izvješća u 2025. godini planirana su sredstva u iznosu od 5.000,00 EUR. Za statističke analize te rad stručne radne skupine koja će analizirati rezultate i pokazatelje modula »</w:t>
      </w:r>
      <w:r>
        <w:t xml:space="preserve">Teacher Knowledge Survey« za potrebe nacionalnog izvješća u 2026. godini planirana su sredstva u iznosu od 5.000,00 EUR. </w:t>
      </w:r>
    </w:p>
    <w:p w:rsidR="009520A9" w:rsidRDefault="00770482">
      <w:r>
        <w:t xml:space="preserve">4. Tisak </w:t>
      </w:r>
    </w:p>
    <w:p w:rsidR="009520A9" w:rsidRDefault="00770482">
      <w:r>
        <w:t>Za tisak informativnog materiala i popratnih pisama s pristupnim podacima za online anketu za oko 13 000 ispitanika iz 496 š</w:t>
      </w:r>
      <w:r>
        <w:t xml:space="preserve">kola u 2024. godini planirana su sredstva u iznosu od 12.000,00 EUR.  </w:t>
      </w:r>
    </w:p>
    <w:p w:rsidR="009520A9" w:rsidRDefault="00770482">
      <w:r>
        <w:t xml:space="preserve">5. Poštarina </w:t>
      </w:r>
    </w:p>
    <w:p w:rsidR="009520A9" w:rsidRDefault="00770482">
      <w:r>
        <w:t>Za slanje informativnog i popratnog materijala u uzorkovane škole (496 škola) planirana su sredstva u iznosu od 3.300,00 EUR.</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Postotak provedbe istraživanja OECD/PISA 2022</w:t>
            </w:r>
          </w:p>
        </w:tc>
        <w:tc>
          <w:tcPr>
            <w:tcW w:w="2245" w:type="dxa"/>
            <w:vAlign w:val="top"/>
          </w:tcPr>
          <w:p w:rsidR="009520A9" w:rsidRDefault="00770482">
            <w:pPr>
              <w:pStyle w:val="CellColumn"/>
              <w:jc w:val="left"/>
            </w:pPr>
            <w:r>
              <w:rPr>
                <w:rFonts w:cs="Times New Roman"/>
              </w:rPr>
              <w:t>Broj nacionalnih baza s podatcima PISA 2025</w:t>
            </w:r>
          </w:p>
        </w:tc>
        <w:tc>
          <w:tcPr>
            <w:tcW w:w="918" w:type="dxa"/>
          </w:tcPr>
          <w:p w:rsidR="009520A9" w:rsidRDefault="00770482">
            <w:pPr>
              <w:jc w:val="center"/>
            </w:pPr>
            <w:r>
              <w:t>Postotak provedbe</w:t>
            </w:r>
          </w:p>
        </w:tc>
        <w:tc>
          <w:tcPr>
            <w:tcW w:w="918" w:type="dxa"/>
          </w:tcPr>
          <w:p w:rsidR="009520A9" w:rsidRDefault="00770482">
            <w:pPr>
              <w:jc w:val="center"/>
            </w:pPr>
            <w:r>
              <w:t>90  %</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100 %</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objavljenih publikacija i nacionalnih izvještaja s rezultatima PISA 2022</w:t>
            </w:r>
          </w:p>
        </w:tc>
        <w:tc>
          <w:tcPr>
            <w:tcW w:w="2245" w:type="dxa"/>
            <w:vAlign w:val="top"/>
          </w:tcPr>
          <w:p w:rsidR="009520A9" w:rsidRDefault="00770482">
            <w:pPr>
              <w:pStyle w:val="CellColumn"/>
              <w:jc w:val="left"/>
            </w:pPr>
            <w:r>
              <w:rPr>
                <w:rFonts w:cs="Times New Roman"/>
              </w:rPr>
              <w:t>Objavljeni nacionalni izvještaji i druge tematske publikacije u svrhu diseminacije rezultata</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Postotak provedbe istraživanja OECD/PISA 2025</w:t>
            </w:r>
          </w:p>
        </w:tc>
        <w:tc>
          <w:tcPr>
            <w:tcW w:w="2245" w:type="dxa"/>
            <w:vAlign w:val="top"/>
          </w:tcPr>
          <w:p w:rsidR="009520A9" w:rsidRDefault="00770482">
            <w:pPr>
              <w:pStyle w:val="CellColumn"/>
              <w:jc w:val="left"/>
            </w:pPr>
            <w:r>
              <w:rPr>
                <w:rFonts w:cs="Times New Roman"/>
              </w:rPr>
              <w:t>Proved</w:t>
            </w:r>
            <w:r>
              <w:rPr>
                <w:rFonts w:cs="Times New Roman"/>
              </w:rPr>
              <w:t>ene aktivnosti OECD/PISA 2025 istraživanja</w:t>
            </w:r>
          </w:p>
        </w:tc>
        <w:tc>
          <w:tcPr>
            <w:tcW w:w="918" w:type="dxa"/>
          </w:tcPr>
          <w:p w:rsidR="009520A9" w:rsidRDefault="00770482">
            <w:pPr>
              <w:jc w:val="center"/>
            </w:pPr>
            <w:r>
              <w:t>Postotak provedbe</w:t>
            </w:r>
          </w:p>
        </w:tc>
        <w:tc>
          <w:tcPr>
            <w:tcW w:w="918" w:type="dxa"/>
          </w:tcPr>
          <w:p w:rsidR="009520A9" w:rsidRDefault="00770482">
            <w:pPr>
              <w:jc w:val="center"/>
            </w:pPr>
            <w:r>
              <w:t>20%</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50 %</w:t>
            </w:r>
          </w:p>
        </w:tc>
        <w:tc>
          <w:tcPr>
            <w:tcW w:w="918" w:type="dxa"/>
          </w:tcPr>
          <w:p w:rsidR="009520A9" w:rsidRDefault="00770482">
            <w:pPr>
              <w:jc w:val="center"/>
            </w:pPr>
            <w:r>
              <w:t>90 %</w:t>
            </w:r>
          </w:p>
        </w:tc>
        <w:tc>
          <w:tcPr>
            <w:tcW w:w="918" w:type="dxa"/>
          </w:tcPr>
          <w:p w:rsidR="009520A9" w:rsidRDefault="00770482">
            <w:pPr>
              <w:jc w:val="center"/>
            </w:pPr>
            <w:r>
              <w:t>95 %</w:t>
            </w:r>
          </w:p>
        </w:tc>
      </w:tr>
      <w:tr w:rsidR="009520A9">
        <w:trPr>
          <w:jc w:val="center"/>
        </w:trPr>
        <w:tc>
          <w:tcPr>
            <w:tcW w:w="2245" w:type="dxa"/>
            <w:vAlign w:val="top"/>
          </w:tcPr>
          <w:p w:rsidR="009520A9" w:rsidRDefault="00770482">
            <w:pPr>
              <w:pStyle w:val="CellColumn"/>
              <w:jc w:val="left"/>
            </w:pPr>
            <w:r>
              <w:rPr>
                <w:rFonts w:cs="Times New Roman"/>
              </w:rPr>
              <w:t>Broj plaćenih godišnjih članarina PISA 2025</w:t>
            </w:r>
          </w:p>
        </w:tc>
        <w:tc>
          <w:tcPr>
            <w:tcW w:w="2245" w:type="dxa"/>
            <w:vAlign w:val="top"/>
          </w:tcPr>
          <w:p w:rsidR="009520A9" w:rsidRDefault="00770482">
            <w:pPr>
              <w:pStyle w:val="CellColumn"/>
              <w:jc w:val="left"/>
            </w:pPr>
            <w:r>
              <w:rPr>
                <w:rFonts w:cs="Times New Roman"/>
              </w:rPr>
              <w:t>Plaćene članarine za sudjelovanje u međunarodnim istraživanjima</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r w:rsidR="009520A9">
        <w:trPr>
          <w:jc w:val="center"/>
        </w:trPr>
        <w:tc>
          <w:tcPr>
            <w:tcW w:w="2245" w:type="dxa"/>
            <w:vAlign w:val="top"/>
          </w:tcPr>
          <w:p w:rsidR="009520A9" w:rsidRDefault="00770482">
            <w:pPr>
              <w:pStyle w:val="CellColumn"/>
              <w:jc w:val="left"/>
            </w:pPr>
            <w:r>
              <w:rPr>
                <w:rFonts w:cs="Times New Roman"/>
              </w:rPr>
              <w:t>Broj obvezatnih međunarodnih sastanaka PISA 2025</w:t>
            </w:r>
          </w:p>
        </w:tc>
        <w:tc>
          <w:tcPr>
            <w:tcW w:w="2245" w:type="dxa"/>
            <w:vAlign w:val="top"/>
          </w:tcPr>
          <w:p w:rsidR="009520A9" w:rsidRDefault="00770482">
            <w:pPr>
              <w:pStyle w:val="CellColumn"/>
              <w:jc w:val="left"/>
            </w:pPr>
            <w:r>
              <w:rPr>
                <w:rFonts w:cs="Times New Roman"/>
              </w:rPr>
              <w:t>Osposobljeni članovi nacionalnoga tima za provedbu istraživanja i provedene individualne konzultacije s međunarodnim konzorcijem</w:t>
            </w:r>
          </w:p>
        </w:tc>
        <w:tc>
          <w:tcPr>
            <w:tcW w:w="918" w:type="dxa"/>
          </w:tcPr>
          <w:p w:rsidR="009520A9" w:rsidRDefault="00770482">
            <w:pPr>
              <w:jc w:val="center"/>
            </w:pPr>
            <w:r>
              <w:t>Broj</w:t>
            </w:r>
          </w:p>
        </w:tc>
        <w:tc>
          <w:tcPr>
            <w:tcW w:w="918" w:type="dxa"/>
          </w:tcPr>
          <w:p w:rsidR="009520A9" w:rsidRDefault="00770482">
            <w:pPr>
              <w:jc w:val="center"/>
            </w:pPr>
            <w:r>
              <w:t>2</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3</w:t>
            </w:r>
          </w:p>
        </w:tc>
        <w:tc>
          <w:tcPr>
            <w:tcW w:w="918" w:type="dxa"/>
          </w:tcPr>
          <w:p w:rsidR="009520A9" w:rsidRDefault="00770482">
            <w:pPr>
              <w:jc w:val="center"/>
            </w:pPr>
            <w:r>
              <w:t>3</w:t>
            </w:r>
          </w:p>
        </w:tc>
        <w:tc>
          <w:tcPr>
            <w:tcW w:w="918" w:type="dxa"/>
          </w:tcPr>
          <w:p w:rsidR="009520A9" w:rsidRDefault="00770482">
            <w:pPr>
              <w:jc w:val="center"/>
            </w:pPr>
            <w:r>
              <w:t>2</w:t>
            </w:r>
          </w:p>
        </w:tc>
      </w:tr>
      <w:tr w:rsidR="009520A9">
        <w:trPr>
          <w:jc w:val="center"/>
        </w:trPr>
        <w:tc>
          <w:tcPr>
            <w:tcW w:w="2245" w:type="dxa"/>
            <w:vAlign w:val="top"/>
          </w:tcPr>
          <w:p w:rsidR="009520A9" w:rsidRDefault="00770482">
            <w:pPr>
              <w:pStyle w:val="CellColumn"/>
              <w:jc w:val="left"/>
            </w:pPr>
            <w:r>
              <w:rPr>
                <w:rFonts w:cs="Times New Roman"/>
              </w:rPr>
              <w:t>Broj pripremljenih instrumenata PISA 2025</w:t>
            </w:r>
          </w:p>
        </w:tc>
        <w:tc>
          <w:tcPr>
            <w:tcW w:w="2245" w:type="dxa"/>
            <w:vAlign w:val="top"/>
          </w:tcPr>
          <w:p w:rsidR="009520A9" w:rsidRDefault="00770482">
            <w:pPr>
              <w:pStyle w:val="CellColumn"/>
              <w:jc w:val="left"/>
            </w:pPr>
            <w:r>
              <w:rPr>
                <w:rFonts w:cs="Times New Roman"/>
              </w:rPr>
              <w:t>Pripremljeni instrumenti za ispitivanje postignuća i anketiranje učenika i ravnatelja u školama</w:t>
            </w:r>
          </w:p>
        </w:tc>
        <w:tc>
          <w:tcPr>
            <w:tcW w:w="918" w:type="dxa"/>
          </w:tcPr>
          <w:p w:rsidR="009520A9" w:rsidRDefault="00770482">
            <w:pPr>
              <w:jc w:val="center"/>
            </w:pPr>
            <w:r>
              <w:t>Broj</w:t>
            </w:r>
          </w:p>
        </w:tc>
        <w:tc>
          <w:tcPr>
            <w:tcW w:w="918" w:type="dxa"/>
          </w:tcPr>
          <w:p w:rsidR="009520A9" w:rsidRDefault="00770482">
            <w:pPr>
              <w:jc w:val="center"/>
            </w:pPr>
            <w:r>
              <w:t>3</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3</w:t>
            </w:r>
          </w:p>
        </w:tc>
        <w:tc>
          <w:tcPr>
            <w:tcW w:w="918" w:type="dxa"/>
          </w:tcPr>
          <w:p w:rsidR="009520A9" w:rsidRDefault="00770482">
            <w:pPr>
              <w:jc w:val="center"/>
            </w:pPr>
            <w:r>
              <w:t>3</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provedbi ispitivanja (broj škola) PISA 2025</w:t>
            </w:r>
          </w:p>
        </w:tc>
        <w:tc>
          <w:tcPr>
            <w:tcW w:w="2245" w:type="dxa"/>
            <w:vAlign w:val="top"/>
          </w:tcPr>
          <w:p w:rsidR="009520A9" w:rsidRDefault="00770482">
            <w:pPr>
              <w:pStyle w:val="CellColumn"/>
              <w:jc w:val="left"/>
            </w:pPr>
            <w:r>
              <w:rPr>
                <w:rFonts w:cs="Times New Roman"/>
              </w:rPr>
              <w:t>Provedeno ispitivanje u ciljnom broju škola u svrhu prikupljanja podataka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93</w:t>
            </w:r>
          </w:p>
        </w:tc>
        <w:tc>
          <w:tcPr>
            <w:tcW w:w="918" w:type="dxa"/>
          </w:tcPr>
          <w:p w:rsidR="009520A9" w:rsidRDefault="00770482">
            <w:pPr>
              <w:jc w:val="center"/>
            </w:pPr>
            <w:r>
              <w:t>200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nacionalnih baza s podatcima PISA 2025</w:t>
            </w:r>
          </w:p>
        </w:tc>
        <w:tc>
          <w:tcPr>
            <w:tcW w:w="2245" w:type="dxa"/>
            <w:vAlign w:val="top"/>
          </w:tcPr>
          <w:p w:rsidR="009520A9" w:rsidRDefault="00770482">
            <w:pPr>
              <w:pStyle w:val="CellColumn"/>
              <w:jc w:val="left"/>
            </w:pPr>
            <w:r>
              <w:rPr>
                <w:rFonts w:cs="Times New Roman"/>
              </w:rPr>
              <w:t>Nacionalna baza s unesenim podatcima o ocijenjenim ispitima učenika i podatcima iz upitnika podnesena međunarodnomu konzorciju</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Postotak provedbe istraživanja IEA/ICILS 2023</w:t>
            </w:r>
          </w:p>
        </w:tc>
        <w:tc>
          <w:tcPr>
            <w:tcW w:w="2245" w:type="dxa"/>
            <w:vAlign w:val="top"/>
          </w:tcPr>
          <w:p w:rsidR="009520A9" w:rsidRDefault="00770482">
            <w:pPr>
              <w:pStyle w:val="CellColumn"/>
              <w:jc w:val="left"/>
            </w:pPr>
            <w:r>
              <w:rPr>
                <w:rFonts w:cs="Times New Roman"/>
              </w:rPr>
              <w:t>Provedene aktivnosti IEA/ICCS 2022 istraživanja</w:t>
            </w:r>
          </w:p>
        </w:tc>
        <w:tc>
          <w:tcPr>
            <w:tcW w:w="918" w:type="dxa"/>
          </w:tcPr>
          <w:p w:rsidR="009520A9" w:rsidRDefault="00770482">
            <w:pPr>
              <w:jc w:val="center"/>
            </w:pPr>
            <w:r>
              <w:t>Postotak provedbe</w:t>
            </w:r>
          </w:p>
        </w:tc>
        <w:tc>
          <w:tcPr>
            <w:tcW w:w="918" w:type="dxa"/>
          </w:tcPr>
          <w:p w:rsidR="009520A9" w:rsidRDefault="00770482">
            <w:pPr>
              <w:jc w:val="center"/>
            </w:pPr>
            <w:r>
              <w:t>20 %</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90 %</w:t>
            </w:r>
          </w:p>
        </w:tc>
        <w:tc>
          <w:tcPr>
            <w:tcW w:w="918" w:type="dxa"/>
          </w:tcPr>
          <w:p w:rsidR="009520A9" w:rsidRDefault="00770482">
            <w:pPr>
              <w:jc w:val="center"/>
            </w:pPr>
            <w:r>
              <w:t>100 %</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plaćenih godišnjih članarina ICILS 2023</w:t>
            </w:r>
          </w:p>
        </w:tc>
        <w:tc>
          <w:tcPr>
            <w:tcW w:w="2245" w:type="dxa"/>
            <w:vAlign w:val="top"/>
          </w:tcPr>
          <w:p w:rsidR="009520A9" w:rsidRDefault="00770482">
            <w:pPr>
              <w:pStyle w:val="CellColumn"/>
              <w:jc w:val="left"/>
            </w:pPr>
            <w:r>
              <w:rPr>
                <w:rFonts w:cs="Times New Roman"/>
              </w:rPr>
              <w:t>Plaćene članarine za sudjelovanje u međunarodnim istraživanjima</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obvezatnih međunarodnih sastanaka ICILS 2023</w:t>
            </w:r>
          </w:p>
        </w:tc>
        <w:tc>
          <w:tcPr>
            <w:tcW w:w="2245" w:type="dxa"/>
            <w:vAlign w:val="top"/>
          </w:tcPr>
          <w:p w:rsidR="009520A9" w:rsidRDefault="00770482">
            <w:pPr>
              <w:pStyle w:val="CellColumn"/>
              <w:jc w:val="left"/>
            </w:pPr>
            <w:r>
              <w:rPr>
                <w:rFonts w:cs="Times New Roman"/>
              </w:rPr>
              <w:t>Osposobljeni članovi nacionalnoga tima za provedbu istraživanja i provedene individualne konzultacije s međunarodnim konzorcijem</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objavljenih publikacija i nacionalnih izvještaja s rezultatima ICILS 2023</w:t>
            </w:r>
          </w:p>
        </w:tc>
        <w:tc>
          <w:tcPr>
            <w:tcW w:w="2245" w:type="dxa"/>
            <w:vAlign w:val="top"/>
          </w:tcPr>
          <w:p w:rsidR="009520A9" w:rsidRDefault="00770482">
            <w:pPr>
              <w:pStyle w:val="CellColumn"/>
              <w:jc w:val="left"/>
            </w:pPr>
            <w:r>
              <w:rPr>
                <w:rFonts w:cs="Times New Roman"/>
              </w:rPr>
              <w:t>Objavljeni nacionalni izvještaji i druge tematske publikacije u svrhu diseminacije rezultata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Postotak provedbe istraživanja OECD/TALIS 2024</w:t>
            </w:r>
          </w:p>
        </w:tc>
        <w:tc>
          <w:tcPr>
            <w:tcW w:w="2245" w:type="dxa"/>
            <w:vAlign w:val="top"/>
          </w:tcPr>
          <w:p w:rsidR="009520A9" w:rsidRDefault="00770482">
            <w:pPr>
              <w:pStyle w:val="CellColumn"/>
              <w:jc w:val="left"/>
            </w:pPr>
            <w:r>
              <w:rPr>
                <w:rFonts w:cs="Times New Roman"/>
              </w:rPr>
              <w:t>Provedene aktivnosti OECD/TALIS 2024 istraživanja</w:t>
            </w:r>
          </w:p>
        </w:tc>
        <w:tc>
          <w:tcPr>
            <w:tcW w:w="918" w:type="dxa"/>
          </w:tcPr>
          <w:p w:rsidR="009520A9" w:rsidRDefault="00770482">
            <w:pPr>
              <w:jc w:val="center"/>
            </w:pPr>
            <w:r>
              <w:t>Postotak provedbe</w:t>
            </w:r>
          </w:p>
        </w:tc>
        <w:tc>
          <w:tcPr>
            <w:tcW w:w="918" w:type="dxa"/>
          </w:tcPr>
          <w:p w:rsidR="009520A9" w:rsidRDefault="00770482">
            <w:pPr>
              <w:jc w:val="center"/>
            </w:pPr>
            <w:r>
              <w:t>50%</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90%</w:t>
            </w:r>
          </w:p>
        </w:tc>
        <w:tc>
          <w:tcPr>
            <w:tcW w:w="918" w:type="dxa"/>
          </w:tcPr>
          <w:p w:rsidR="009520A9" w:rsidRDefault="00770482">
            <w:pPr>
              <w:jc w:val="center"/>
            </w:pPr>
            <w:r>
              <w:t>95 %</w:t>
            </w:r>
          </w:p>
        </w:tc>
        <w:tc>
          <w:tcPr>
            <w:tcW w:w="918" w:type="dxa"/>
          </w:tcPr>
          <w:p w:rsidR="009520A9" w:rsidRDefault="00770482">
            <w:pPr>
              <w:jc w:val="center"/>
            </w:pPr>
            <w:r>
              <w:t>100 %</w:t>
            </w:r>
          </w:p>
        </w:tc>
      </w:tr>
      <w:tr w:rsidR="009520A9">
        <w:trPr>
          <w:jc w:val="center"/>
        </w:trPr>
        <w:tc>
          <w:tcPr>
            <w:tcW w:w="2245" w:type="dxa"/>
            <w:vAlign w:val="top"/>
          </w:tcPr>
          <w:p w:rsidR="009520A9" w:rsidRDefault="00770482">
            <w:pPr>
              <w:pStyle w:val="CellColumn"/>
              <w:jc w:val="left"/>
            </w:pPr>
            <w:r>
              <w:rPr>
                <w:rFonts w:cs="Times New Roman"/>
              </w:rPr>
              <w:t>Broj plaćenih godišnjih članarina TALIS 2024</w:t>
            </w:r>
          </w:p>
        </w:tc>
        <w:tc>
          <w:tcPr>
            <w:tcW w:w="2245" w:type="dxa"/>
            <w:vAlign w:val="top"/>
          </w:tcPr>
          <w:p w:rsidR="009520A9" w:rsidRDefault="00770482">
            <w:pPr>
              <w:pStyle w:val="CellColumn"/>
              <w:jc w:val="left"/>
            </w:pPr>
            <w:r>
              <w:rPr>
                <w:rFonts w:cs="Times New Roman"/>
              </w:rPr>
              <w:t>Plaćene članarine za sudjelovanje u međunarodnim istraživanjima</w:t>
            </w:r>
          </w:p>
        </w:tc>
        <w:tc>
          <w:tcPr>
            <w:tcW w:w="918" w:type="dxa"/>
          </w:tcPr>
          <w:p w:rsidR="009520A9" w:rsidRDefault="00770482">
            <w:pPr>
              <w:jc w:val="center"/>
            </w:pPr>
            <w:r>
              <w:t>Broj</w:t>
            </w:r>
          </w:p>
        </w:tc>
        <w:tc>
          <w:tcPr>
            <w:tcW w:w="918" w:type="dxa"/>
          </w:tcPr>
          <w:p w:rsidR="009520A9" w:rsidRDefault="00770482">
            <w:pPr>
              <w:jc w:val="center"/>
            </w:pPr>
            <w:r>
              <w:t>2</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obvezatnih međunarodnih sastanaka TALIS 2024</w:t>
            </w:r>
          </w:p>
        </w:tc>
        <w:tc>
          <w:tcPr>
            <w:tcW w:w="2245" w:type="dxa"/>
            <w:vAlign w:val="top"/>
          </w:tcPr>
          <w:p w:rsidR="009520A9" w:rsidRDefault="00770482">
            <w:pPr>
              <w:pStyle w:val="CellColumn"/>
              <w:jc w:val="left"/>
            </w:pPr>
            <w:r>
              <w:rPr>
                <w:rFonts w:cs="Times New Roman"/>
              </w:rPr>
              <w:t>Osposobljeni članovi nacionalnoga tima za provedbu istraživanja i provedene individualne konzultacije s međunarodnim konzorcijem</w:t>
            </w:r>
          </w:p>
        </w:tc>
        <w:tc>
          <w:tcPr>
            <w:tcW w:w="918" w:type="dxa"/>
          </w:tcPr>
          <w:p w:rsidR="009520A9" w:rsidRDefault="00770482">
            <w:pPr>
              <w:jc w:val="center"/>
            </w:pPr>
            <w:r>
              <w:t>Broj</w:t>
            </w:r>
          </w:p>
        </w:tc>
        <w:tc>
          <w:tcPr>
            <w:tcW w:w="918" w:type="dxa"/>
          </w:tcPr>
          <w:p w:rsidR="009520A9" w:rsidRDefault="00770482">
            <w:pPr>
              <w:jc w:val="center"/>
            </w:pPr>
            <w:r>
              <w:t>3</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pripremljenih instrumenata TALIS 2024</w:t>
            </w:r>
          </w:p>
        </w:tc>
        <w:tc>
          <w:tcPr>
            <w:tcW w:w="2245" w:type="dxa"/>
            <w:vAlign w:val="top"/>
          </w:tcPr>
          <w:p w:rsidR="009520A9" w:rsidRDefault="00770482">
            <w:pPr>
              <w:pStyle w:val="CellColumn"/>
              <w:jc w:val="left"/>
            </w:pPr>
            <w:r>
              <w:rPr>
                <w:rFonts w:cs="Times New Roman"/>
              </w:rPr>
              <w:t xml:space="preserve">Pripremljeni </w:t>
            </w:r>
            <w:r>
              <w:rPr>
                <w:rFonts w:cs="Times New Roman"/>
              </w:rPr>
              <w:t>instrumenti za ispitivanje postignuća i anketiranje učenika, ravnatelja i roditelja u školama</w:t>
            </w:r>
          </w:p>
        </w:tc>
        <w:tc>
          <w:tcPr>
            <w:tcW w:w="918" w:type="dxa"/>
          </w:tcPr>
          <w:p w:rsidR="009520A9" w:rsidRDefault="00770482">
            <w:pPr>
              <w:jc w:val="center"/>
            </w:pPr>
            <w:r>
              <w:t>Broj</w:t>
            </w:r>
          </w:p>
        </w:tc>
        <w:tc>
          <w:tcPr>
            <w:tcW w:w="918" w:type="dxa"/>
          </w:tcPr>
          <w:p w:rsidR="009520A9" w:rsidRDefault="00770482">
            <w:pPr>
              <w:jc w:val="center"/>
            </w:pPr>
            <w:r>
              <w:t>3</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provedbi ispitivanja (broj škola) TALIS 2024</w:t>
            </w:r>
          </w:p>
        </w:tc>
        <w:tc>
          <w:tcPr>
            <w:tcW w:w="2245" w:type="dxa"/>
            <w:vAlign w:val="top"/>
          </w:tcPr>
          <w:p w:rsidR="009520A9" w:rsidRDefault="00770482">
            <w:pPr>
              <w:pStyle w:val="CellColumn"/>
              <w:jc w:val="left"/>
            </w:pPr>
            <w:r>
              <w:rPr>
                <w:rFonts w:cs="Times New Roman"/>
              </w:rPr>
              <w:t>Provedeno ispitivanje u ciljnome broju škola u svrhu prikupljanja podataka</w:t>
            </w:r>
          </w:p>
        </w:tc>
        <w:tc>
          <w:tcPr>
            <w:tcW w:w="918" w:type="dxa"/>
          </w:tcPr>
          <w:p w:rsidR="009520A9" w:rsidRDefault="00770482">
            <w:pPr>
              <w:jc w:val="center"/>
            </w:pPr>
            <w:r>
              <w:t>Broj</w:t>
            </w:r>
          </w:p>
        </w:tc>
        <w:tc>
          <w:tcPr>
            <w:tcW w:w="918" w:type="dxa"/>
          </w:tcPr>
          <w:p w:rsidR="009520A9" w:rsidRDefault="00770482">
            <w:pPr>
              <w:jc w:val="center"/>
            </w:pPr>
            <w:r>
              <w:t>59</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496</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nacionalnih baza s podatcima TALIS 2024</w:t>
            </w:r>
          </w:p>
        </w:tc>
        <w:tc>
          <w:tcPr>
            <w:tcW w:w="2245" w:type="dxa"/>
            <w:vAlign w:val="top"/>
          </w:tcPr>
          <w:p w:rsidR="009520A9" w:rsidRDefault="00770482">
            <w:pPr>
              <w:pStyle w:val="CellColumn"/>
              <w:jc w:val="left"/>
            </w:pPr>
            <w:r>
              <w:rPr>
                <w:rFonts w:cs="Times New Roman"/>
              </w:rPr>
              <w:t>Nacionalna baza s unesenim podatcima o ocijenjenim ispitima  učenika i podatcima iz upitnika podnesena međunarodnomu konzorciju</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bl>
    <w:p w:rsidR="009520A9" w:rsidRDefault="009520A9">
      <w:pPr>
        <w:jc w:val="left"/>
      </w:pPr>
    </w:p>
    <w:p w:rsidR="009520A9" w:rsidRDefault="00770482">
      <w:pPr>
        <w:pStyle w:val="Heading4"/>
      </w:pPr>
      <w:r>
        <w:t>A814001 DRŽAVNA MATURA</w:t>
      </w:r>
    </w:p>
    <w:p w:rsidR="009520A9" w:rsidRDefault="00770482">
      <w:pPr>
        <w:pStyle w:val="Heading8"/>
        <w:jc w:val="left"/>
      </w:pPr>
      <w:r>
        <w:t>Zakonske i druge pravne osnove</w:t>
      </w:r>
    </w:p>
    <w:p w:rsidR="009520A9" w:rsidRDefault="00770482">
      <w:r>
        <w:t xml:space="preserve">•Zakon o Nacionalnome centru za vanjsko vrednovanje obrazovanja, </w:t>
      </w:r>
    </w:p>
    <w:p w:rsidR="009520A9" w:rsidRDefault="00770482">
      <w:r>
        <w:t>•Zakon o odgoju i obrazovanju u osnovnim i srednjim školama, VIII. Vanjsko vrednovanje i samovrednovanje školskih ustanova, članak 88., X. Radnici školskih ust</w:t>
      </w:r>
      <w:r>
        <w:t xml:space="preserve">anova, članak 117.  </w:t>
      </w:r>
    </w:p>
    <w:p w:rsidR="009520A9" w:rsidRDefault="00770482">
      <w:r>
        <w:t xml:space="preserve">•Pravilnik o polaganju državne mature </w:t>
      </w:r>
    </w:p>
    <w:p w:rsidR="009520A9" w:rsidRDefault="00770482">
      <w:r>
        <w:t>•Pravilnik o Središnjem registru državne mature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A814001</w:t>
            </w:r>
          </w:p>
        </w:tc>
        <w:tc>
          <w:tcPr>
            <w:tcW w:w="1632" w:type="dxa"/>
            <w:vAlign w:val="top"/>
          </w:tcPr>
          <w:p w:rsidR="009520A9" w:rsidRDefault="00770482">
            <w:pPr>
              <w:jc w:val="right"/>
            </w:pPr>
            <w:r>
              <w:t>3.775.116</w:t>
            </w:r>
          </w:p>
        </w:tc>
        <w:tc>
          <w:tcPr>
            <w:tcW w:w="1632" w:type="dxa"/>
            <w:vAlign w:val="top"/>
          </w:tcPr>
          <w:p w:rsidR="009520A9" w:rsidRDefault="00770482">
            <w:pPr>
              <w:jc w:val="right"/>
            </w:pPr>
            <w:r>
              <w:t>4.998.190</w:t>
            </w:r>
          </w:p>
        </w:tc>
        <w:tc>
          <w:tcPr>
            <w:tcW w:w="1632" w:type="dxa"/>
            <w:vAlign w:val="top"/>
          </w:tcPr>
          <w:p w:rsidR="009520A9" w:rsidRDefault="00770482">
            <w:pPr>
              <w:jc w:val="right"/>
            </w:pPr>
            <w:r>
              <w:t>3.535.051</w:t>
            </w:r>
          </w:p>
        </w:tc>
        <w:tc>
          <w:tcPr>
            <w:tcW w:w="1632" w:type="dxa"/>
            <w:vAlign w:val="top"/>
          </w:tcPr>
          <w:p w:rsidR="009520A9" w:rsidRDefault="00770482">
            <w:pPr>
              <w:jc w:val="right"/>
            </w:pPr>
            <w:r>
              <w:t>3.580.051</w:t>
            </w:r>
          </w:p>
        </w:tc>
        <w:tc>
          <w:tcPr>
            <w:tcW w:w="1632" w:type="dxa"/>
            <w:vAlign w:val="top"/>
          </w:tcPr>
          <w:p w:rsidR="009520A9" w:rsidRDefault="00770482">
            <w:pPr>
              <w:jc w:val="right"/>
            </w:pPr>
            <w:r>
              <w:t>3.580.051</w:t>
            </w:r>
          </w:p>
        </w:tc>
        <w:tc>
          <w:tcPr>
            <w:tcW w:w="510" w:type="dxa"/>
            <w:vAlign w:val="top"/>
          </w:tcPr>
          <w:p w:rsidR="009520A9" w:rsidRDefault="00770482">
            <w:pPr>
              <w:jc w:val="right"/>
            </w:pPr>
            <w:r>
              <w:t>70,7</w:t>
            </w:r>
          </w:p>
        </w:tc>
      </w:tr>
    </w:tbl>
    <w:p w:rsidR="009520A9" w:rsidRDefault="009520A9">
      <w:pPr>
        <w:jc w:val="left"/>
      </w:pPr>
    </w:p>
    <w:p w:rsidR="009520A9" w:rsidRDefault="00770482">
      <w:r>
        <w:t>Ispiti državne mature provode se iz općeobrazovnih predmeta. Srednje obrazovanje učenika gimnazijskih programa obrazovanja završava polaganjem državne mature. Ispite državne mature mogu polagati i učenici u strukovnim i umjetničkim program</w:t>
      </w:r>
      <w:r>
        <w:t xml:space="preserve">ima obrazovanja koji traju najmanje četiri godine i čije srednje obrazovanje završava izradom i obranom završnoga rada u organizaciji i provedbi škole.    </w:t>
      </w:r>
    </w:p>
    <w:p w:rsidR="009520A9" w:rsidRDefault="00770482">
      <w:r>
        <w:t>Ispite državne mature mogu polagati i pristupnici koji su najmanje četverogodišnje srednje obrazovan</w:t>
      </w:r>
      <w:r>
        <w:t xml:space="preserve">je završili u Republici Hrvatskoj te pristupnici koji su srednje obrazovanje završili izvan Republike Hrvatske usporedivo s četverogodišnjim srednjim obrazovanjem u Republici Hrvatskoj, što utvrđuje Centar.   </w:t>
      </w:r>
    </w:p>
    <w:p w:rsidR="009520A9" w:rsidRDefault="00770482">
      <w:r>
        <w:t>Na temelju rezultata ispita državne mature pri</w:t>
      </w:r>
      <w:r>
        <w:t>stupnici su rangirani za upis na visoka učilišta u Republici Hrvatskoj i izdane su im svjedodžbe o položenoj državnoj maturi ili potvrde o položenim ispitima državne mature ovisno o tomu radi li se o pristupnicima iz gimnazija ili o pristupnicima iz struko</w:t>
      </w:r>
      <w:r>
        <w:t xml:space="preserve">vnih škola i ostalim pristupnicima.    </w:t>
      </w:r>
    </w:p>
    <w:p w:rsidR="009520A9" w:rsidRDefault="00770482">
      <w:r>
        <w:t xml:space="preserve">Ova aktivnost/projekt sastoji se od sljedećih elemenata/podaktivnosti:   </w:t>
      </w:r>
    </w:p>
    <w:p w:rsidR="009520A9" w:rsidRDefault="00770482">
      <w:r>
        <w:t xml:space="preserve">1. Priprema ispitnih materijala državne mature za školsku godinu 2024./2025. </w:t>
      </w:r>
    </w:p>
    <w:p w:rsidR="009520A9" w:rsidRDefault="00770482">
      <w:r>
        <w:t>2. Tisak, pakiranje, obrada i distribucija ispitnih materijala z</w:t>
      </w:r>
      <w:r>
        <w:t xml:space="preserve">a državnu maturu u školskoj godini 2023./2024. </w:t>
      </w:r>
    </w:p>
    <w:p w:rsidR="009520A9" w:rsidRDefault="00770482">
      <w:r>
        <w:t xml:space="preserve">3. Provedba ispita državne mature u školskoj godini 2023./2024.  </w:t>
      </w:r>
    </w:p>
    <w:p w:rsidR="009520A9" w:rsidRDefault="00770482">
      <w:r>
        <w:t xml:space="preserve">4. Ocjenjivanje ispita državne mature u školskoj godini 2023./2024. </w:t>
      </w:r>
    </w:p>
    <w:p w:rsidR="009520A9" w:rsidRDefault="00770482">
      <w:r>
        <w:t xml:space="preserve">5. Troškovi prijevoza i smještaja vanjskih suradnika za provedbu državne </w:t>
      </w:r>
      <w:r>
        <w:t xml:space="preserve">mature u školskoj godini 2023./2024. </w:t>
      </w:r>
    </w:p>
    <w:p w:rsidR="009520A9" w:rsidRDefault="00770482">
      <w:r>
        <w:t>Aktivnost se provodi svake godine. Priprema državne mature za školsku godinu 2023./2024. započela je u 2022. godini, a provedba će biti u potpunosti realizirana završetkom jesenskoga roka državne mature u 2024. godini.</w:t>
      </w:r>
      <w:r>
        <w:t xml:space="preserve"> Tijekom 2023. godine započet će i razvoj ispitnoga materijala za državnu maturu 2025. godine.  </w:t>
      </w:r>
    </w:p>
    <w:p w:rsidR="009520A9" w:rsidRDefault="00770482">
      <w:r>
        <w:t>Od 2024. do 2026. očekuje se ostvarenje provedbe državne mature u tekućim godinama te početak izrade ispitnih materijala za državnu maturu planiranu za 2026./2</w:t>
      </w:r>
      <w:r>
        <w:t xml:space="preserve">027. školsku godinu.  </w:t>
      </w:r>
    </w:p>
    <w:p w:rsidR="009520A9" w:rsidRDefault="00770482">
      <w:r>
        <w:t xml:space="preserve">Izračun financijskoga plana </w:t>
      </w:r>
    </w:p>
    <w:p w:rsidR="009520A9" w:rsidRDefault="00770482">
      <w:r>
        <w:t xml:space="preserve">1. Izrada ispita i ispitnih materijala za državnu maturu za školsku godinu 2023./2024.  </w:t>
      </w:r>
    </w:p>
    <w:p w:rsidR="009520A9" w:rsidRDefault="00770482">
      <w:r>
        <w:t>U 2024. planirana su sredstva u iznosu od 465.000,00 EUR za stručne radne skupine koje izrađuju ispite državne matu</w:t>
      </w:r>
      <w:r>
        <w:t xml:space="preserve">re (36 ispita, 144 inačica, 27 stručnih skupina, 110 osoba), 66.000,00 EUR za prijevod ispita i ispitnih kataloga na jezike nacionalnih manjina i lektura (27 kataloga, 32 ispita po četiri inačice), 93.000,00 EUR za prilagodbu ispita (120 osobnih pomagača, </w:t>
      </w:r>
      <w:r>
        <w:t xml:space="preserve">Brajica – 12 ispita, font 14 – 20 ispita, Povjerenstvo za procjenu zahtjeva – 11 osoba) i 40.000,00 EUR za recenzije ispitnih materijala (45 osoba, 144 inačice).  </w:t>
      </w:r>
    </w:p>
    <w:p w:rsidR="009520A9" w:rsidRDefault="00770482">
      <w:r>
        <w:t>2. Tisak, pakiranje, obrada i distribucija ispitnih materijala u školskoj godini 2023./2024.</w:t>
      </w:r>
      <w:r>
        <w:t xml:space="preserve"> </w:t>
      </w:r>
    </w:p>
    <w:p w:rsidR="009520A9" w:rsidRDefault="00770482">
      <w:r>
        <w:t>Za 2024. godinu planirana su sredstva u iznosu od 1.600.000,00 EUR za tisak, kompletiranje ispitnih materijala, pakiranje i raspakiravanje ispitnih materijala, distribuciju ispita prema školama i povrat ispita iz škola i ispitnih centara, informatičku po</w:t>
      </w:r>
      <w:r>
        <w:t>dršku, održavanje i nadogradnju informacijsko-računalnoga sustava (u skladu s promjenama u Zakonu o Nacionalnom centru za vanjsko vrednovanje obrazovanja, čl. 4, stavak 4). Ukupan iznos za ispite ljetnoga roka za cca 200.000 kompleta je 1.450.000,00 EUR te</w:t>
      </w:r>
      <w:r>
        <w:t xml:space="preserve"> za ispite jesenskoga roka za cca 20.000 kompleta je 150.000,00 EUR (uključuje tisak redovnih ispita, ispite na pismu i jezicima nacionalnih manjina i ispite prilagodbe ispitne tehnologije). </w:t>
      </w:r>
    </w:p>
    <w:p w:rsidR="009520A9" w:rsidRDefault="00770482">
      <w:r>
        <w:t>Planirana su sredstva od 6.700,00 EUR za održavanje uređaja i os</w:t>
      </w:r>
      <w:r>
        <w:t>tale usluge ovog područja rada (Obrazloženje: cca 2.720,00 EUR za zamjenu bubnjeva (5 kom), za održavanje uništavača povjerljivih dokumenata ROTO uređaj cca 132,00 EUR, zamjena waste tonera cca 465,00 EUR (10 kom), klamerica cca 132,00 EUR, nabavu tonera c</w:t>
      </w:r>
      <w:r>
        <w:t xml:space="preserve">ca 3.200,00 EUR. </w:t>
      </w:r>
    </w:p>
    <w:p w:rsidR="009520A9" w:rsidRDefault="00770482">
      <w:r>
        <w:t xml:space="preserve">Planirano je 5.000,00 EUR za snimanje zvučnih zapisa za ispite stranih jezika i ispita iz Glazbene umjetnosti (izrada 11 mastera). </w:t>
      </w:r>
    </w:p>
    <w:p w:rsidR="009520A9" w:rsidRDefault="00770482">
      <w:r>
        <w:t xml:space="preserve">3. Provedba ispita državne mature u školskoj godini 2023./2024.  </w:t>
      </w:r>
    </w:p>
    <w:p w:rsidR="009520A9" w:rsidRDefault="00770482">
      <w:r>
        <w:t>U 2024. planirana su sredstva u iznosu o</w:t>
      </w:r>
      <w:r>
        <w:t xml:space="preserve">d 66.000,00 EUR za naknade dežurnim nastavnicima u ispitnim centrima (200 nastavnika), 55.000,00 EUR za naknade ispitnim centrima za kandidate i ispitnim koordinatorima (za 10 000 ispita u šest ispitnih centara). </w:t>
      </w:r>
    </w:p>
    <w:p w:rsidR="009520A9" w:rsidRDefault="00770482">
      <w:r>
        <w:t>4. Ocjenjivanje ispita državne mature u šk</w:t>
      </w:r>
      <w:r>
        <w:t xml:space="preserve">olskoj godini 2023./2024.  </w:t>
      </w:r>
    </w:p>
    <w:p w:rsidR="009520A9" w:rsidRDefault="00770482">
      <w:r>
        <w:t>U 2024. planirana su sredstva u iznosu od 800.000,00 EUR za naknade vanjskim suradnicima za ocjenjivanje ispita (900 ocjenjivača, 135.000 ispita), 12.000,00 EUR za naknade vanjskim suradnicima za edukacije ocjenjivača i 13.000,00 EUR za naknade vanjskim su</w:t>
      </w:r>
      <w:r>
        <w:t xml:space="preserve">radnicima za obradu prigovora pristupnika na ocjenjivanje (50 osoba). </w:t>
      </w:r>
    </w:p>
    <w:p w:rsidR="009520A9" w:rsidRDefault="00770482">
      <w:r>
        <w:t xml:space="preserve">5. Troškovi prijevoza i smještaja vanjskih suradnika za provedbu državne mature u školskoj godini 2023./2024.  </w:t>
      </w:r>
    </w:p>
    <w:p w:rsidR="009520A9" w:rsidRDefault="00770482">
      <w:r>
        <w:t>U 2024. planirana su sredstva u iznosu od 150.000,00 EUR za prijevoz i sm</w:t>
      </w:r>
      <w:r>
        <w:t>ještaj članova stručnih radnih skupina za razvoj ispita državne mature (100 osoba), recenzenata (40 osoba), prevoditelja i lektora (20 osoba), osobnih pomagača (120 osoba) i ocjenjivača (800 osoba).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71"/>
        <w:gridCol w:w="2270"/>
        <w:gridCol w:w="1025"/>
        <w:gridCol w:w="928"/>
        <w:gridCol w:w="928"/>
        <w:gridCol w:w="928"/>
        <w:gridCol w:w="928"/>
        <w:gridCol w:w="928"/>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w:t>
            </w:r>
            <w:r>
              <w:rPr>
                <w:rFonts w:cs="Times New Roman"/>
              </w:rPr>
              <w:t>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sastavljenih ispita i ispitnih materijala za provedbu državne mature</w:t>
            </w:r>
          </w:p>
        </w:tc>
        <w:tc>
          <w:tcPr>
            <w:tcW w:w="2245" w:type="dxa"/>
            <w:vAlign w:val="top"/>
          </w:tcPr>
          <w:p w:rsidR="009520A9" w:rsidRDefault="00770482">
            <w:pPr>
              <w:pStyle w:val="CellColumn"/>
              <w:jc w:val="left"/>
            </w:pPr>
            <w:r>
              <w:rPr>
                <w:rFonts w:cs="Times New Roman"/>
              </w:rPr>
              <w:t>Sastavljeni ispiti i ispitni katalozi, ispiti i ostali ispitni materijali za sve predmete na državnoj maturi</w:t>
            </w:r>
          </w:p>
        </w:tc>
        <w:tc>
          <w:tcPr>
            <w:tcW w:w="918" w:type="dxa"/>
          </w:tcPr>
          <w:p w:rsidR="009520A9" w:rsidRDefault="00770482">
            <w:pPr>
              <w:jc w:val="center"/>
            </w:pPr>
            <w:r>
              <w:t>Broj predmeta</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NCVVO</w:t>
            </w:r>
          </w:p>
        </w:tc>
        <w:tc>
          <w:tcPr>
            <w:tcW w:w="918" w:type="dxa"/>
          </w:tcPr>
          <w:p w:rsidR="009520A9" w:rsidRDefault="00770482">
            <w:pPr>
              <w:jc w:val="center"/>
            </w:pPr>
            <w:r>
              <w:t>27</w:t>
            </w:r>
          </w:p>
        </w:tc>
        <w:tc>
          <w:tcPr>
            <w:tcW w:w="918" w:type="dxa"/>
          </w:tcPr>
          <w:p w:rsidR="009520A9" w:rsidRDefault="00770482">
            <w:pPr>
              <w:jc w:val="center"/>
            </w:pPr>
            <w:r>
              <w:t>27</w:t>
            </w:r>
          </w:p>
        </w:tc>
        <w:tc>
          <w:tcPr>
            <w:tcW w:w="918" w:type="dxa"/>
          </w:tcPr>
          <w:p w:rsidR="009520A9" w:rsidRDefault="00770482">
            <w:pPr>
              <w:jc w:val="center"/>
            </w:pPr>
            <w:r>
              <w:t>27</w:t>
            </w:r>
          </w:p>
        </w:tc>
      </w:tr>
      <w:tr w:rsidR="009520A9">
        <w:trPr>
          <w:jc w:val="center"/>
        </w:trPr>
        <w:tc>
          <w:tcPr>
            <w:tcW w:w="2245" w:type="dxa"/>
            <w:vAlign w:val="top"/>
          </w:tcPr>
          <w:p w:rsidR="009520A9" w:rsidRDefault="00770482">
            <w:pPr>
              <w:pStyle w:val="CellColumn"/>
              <w:jc w:val="left"/>
            </w:pPr>
            <w:r>
              <w:rPr>
                <w:rFonts w:cs="Times New Roman"/>
              </w:rPr>
              <w:t>Broj tiskanih, provedenih, obrađenih i ocijenjenih kompleta ispitnih materijala državne mature</w:t>
            </w:r>
          </w:p>
        </w:tc>
        <w:tc>
          <w:tcPr>
            <w:tcW w:w="2245" w:type="dxa"/>
            <w:vAlign w:val="top"/>
          </w:tcPr>
          <w:p w:rsidR="009520A9" w:rsidRDefault="00770482">
            <w:pPr>
              <w:pStyle w:val="CellColumn"/>
              <w:jc w:val="left"/>
            </w:pPr>
            <w:r>
              <w:rPr>
                <w:rFonts w:cs="Times New Roman"/>
              </w:rPr>
              <w:t>Tiskani ispitni kompleti državne mature na temelju broja prijava pristupnika te provedeni, obrađeni i ocijenjeni ispiti državne mature svih pristupnika u ljetnome i jesenskome roku te probnih ispita za završne razrede i treći razred srednjih škola*</w:t>
            </w:r>
          </w:p>
        </w:tc>
        <w:tc>
          <w:tcPr>
            <w:tcW w:w="918" w:type="dxa"/>
          </w:tcPr>
          <w:p w:rsidR="009520A9" w:rsidRDefault="00770482">
            <w:pPr>
              <w:jc w:val="center"/>
            </w:pPr>
            <w:r>
              <w:t>Broj ko</w:t>
            </w:r>
            <w:r>
              <w:t>mpleta ispita i ispitnih materijala</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NCVVO</w:t>
            </w:r>
          </w:p>
        </w:tc>
        <w:tc>
          <w:tcPr>
            <w:tcW w:w="918" w:type="dxa"/>
          </w:tcPr>
          <w:p w:rsidR="009520A9" w:rsidRDefault="00770482">
            <w:pPr>
              <w:jc w:val="center"/>
            </w:pPr>
            <w:r>
              <w:t>220.000</w:t>
            </w:r>
          </w:p>
        </w:tc>
        <w:tc>
          <w:tcPr>
            <w:tcW w:w="918" w:type="dxa"/>
          </w:tcPr>
          <w:p w:rsidR="009520A9" w:rsidRDefault="00770482">
            <w:pPr>
              <w:jc w:val="center"/>
            </w:pPr>
            <w:r>
              <w:t>220.000</w:t>
            </w:r>
          </w:p>
        </w:tc>
        <w:tc>
          <w:tcPr>
            <w:tcW w:w="918" w:type="dxa"/>
          </w:tcPr>
          <w:p w:rsidR="009520A9" w:rsidRDefault="00770482">
            <w:pPr>
              <w:jc w:val="center"/>
            </w:pPr>
            <w:r>
              <w:t>220.000</w:t>
            </w:r>
          </w:p>
        </w:tc>
      </w:tr>
      <w:tr w:rsidR="009520A9">
        <w:trPr>
          <w:jc w:val="center"/>
        </w:trPr>
        <w:tc>
          <w:tcPr>
            <w:tcW w:w="2245" w:type="dxa"/>
            <w:vAlign w:val="top"/>
          </w:tcPr>
          <w:p w:rsidR="009520A9" w:rsidRDefault="00770482">
            <w:pPr>
              <w:pStyle w:val="CellColumn"/>
              <w:jc w:val="left"/>
            </w:pPr>
            <w:r>
              <w:rPr>
                <w:rFonts w:cs="Times New Roman"/>
              </w:rPr>
              <w:t>Broj objava rezultata državne mature</w:t>
            </w:r>
          </w:p>
        </w:tc>
        <w:tc>
          <w:tcPr>
            <w:tcW w:w="2245" w:type="dxa"/>
            <w:vAlign w:val="top"/>
          </w:tcPr>
          <w:p w:rsidR="009520A9" w:rsidRDefault="00770482">
            <w:pPr>
              <w:pStyle w:val="CellColumn"/>
              <w:jc w:val="left"/>
            </w:pPr>
            <w:r>
              <w:rPr>
                <w:rFonts w:cs="Times New Roman"/>
              </w:rPr>
              <w:t>Objavljeni rezultati ispita za pristupnike državne mature u SRDM-u u ljetnome i jesenskome roku</w:t>
            </w:r>
          </w:p>
        </w:tc>
        <w:tc>
          <w:tcPr>
            <w:tcW w:w="918" w:type="dxa"/>
          </w:tcPr>
          <w:p w:rsidR="009520A9" w:rsidRDefault="00770482">
            <w:pPr>
              <w:jc w:val="center"/>
            </w:pPr>
            <w:r>
              <w:t>Broj ispitnih rokova</w:t>
            </w:r>
          </w:p>
        </w:tc>
        <w:tc>
          <w:tcPr>
            <w:tcW w:w="918" w:type="dxa"/>
          </w:tcPr>
          <w:p w:rsidR="009520A9" w:rsidRDefault="00770482">
            <w:pPr>
              <w:jc w:val="center"/>
            </w:pPr>
            <w:r>
              <w:t>2</w:t>
            </w:r>
          </w:p>
        </w:tc>
        <w:tc>
          <w:tcPr>
            <w:tcW w:w="918" w:type="dxa"/>
          </w:tcPr>
          <w:p w:rsidR="009520A9" w:rsidRDefault="00770482">
            <w:pPr>
              <w:pStyle w:val="CellColumn"/>
              <w:jc w:val="center"/>
            </w:pPr>
            <w:r>
              <w:rPr>
                <w:rFonts w:cs="Times New Roman"/>
              </w:rPr>
              <w:t>NCVVO</w:t>
            </w:r>
          </w:p>
        </w:tc>
        <w:tc>
          <w:tcPr>
            <w:tcW w:w="918" w:type="dxa"/>
          </w:tcPr>
          <w:p w:rsidR="009520A9" w:rsidRDefault="00770482">
            <w:pPr>
              <w:jc w:val="center"/>
            </w:pPr>
            <w:r>
              <w:t>2</w:t>
            </w:r>
          </w:p>
        </w:tc>
        <w:tc>
          <w:tcPr>
            <w:tcW w:w="918" w:type="dxa"/>
          </w:tcPr>
          <w:p w:rsidR="009520A9" w:rsidRDefault="00770482">
            <w:pPr>
              <w:jc w:val="center"/>
            </w:pPr>
            <w:r>
              <w:t>2</w:t>
            </w:r>
          </w:p>
        </w:tc>
        <w:tc>
          <w:tcPr>
            <w:tcW w:w="918" w:type="dxa"/>
          </w:tcPr>
          <w:p w:rsidR="009520A9" w:rsidRDefault="00770482">
            <w:pPr>
              <w:jc w:val="center"/>
            </w:pPr>
            <w:r>
              <w:t>2</w:t>
            </w:r>
          </w:p>
        </w:tc>
      </w:tr>
      <w:tr w:rsidR="009520A9">
        <w:trPr>
          <w:jc w:val="center"/>
        </w:trPr>
        <w:tc>
          <w:tcPr>
            <w:tcW w:w="2245" w:type="dxa"/>
            <w:vAlign w:val="top"/>
          </w:tcPr>
          <w:p w:rsidR="009520A9" w:rsidRDefault="00770482">
            <w:pPr>
              <w:pStyle w:val="CellColumn"/>
              <w:jc w:val="left"/>
            </w:pPr>
            <w:r>
              <w:rPr>
                <w:rFonts w:cs="Times New Roman"/>
              </w:rPr>
              <w:t>Udio educiranih na</w:t>
            </w:r>
            <w:r>
              <w:rPr>
                <w:rFonts w:cs="Times New Roman"/>
              </w:rPr>
              <w:t>stavnika i pristupnika državne mature o ispitima državne mature prema predmetnim kurikulumima</w:t>
            </w:r>
          </w:p>
        </w:tc>
        <w:tc>
          <w:tcPr>
            <w:tcW w:w="2245" w:type="dxa"/>
            <w:vAlign w:val="top"/>
          </w:tcPr>
          <w:p w:rsidR="009520A9" w:rsidRDefault="00770482">
            <w:pPr>
              <w:pStyle w:val="CellColumn"/>
              <w:jc w:val="left"/>
            </w:pPr>
            <w:r>
              <w:rPr>
                <w:rFonts w:cs="Times New Roman"/>
              </w:rPr>
              <w:t>Svi pristupnici i nastavnici upoznati s ispitnim katalozima, konceptom i sadržajem ispita državne mature prema predmetnim kurikulumima.</w:t>
            </w:r>
          </w:p>
        </w:tc>
        <w:tc>
          <w:tcPr>
            <w:tcW w:w="918" w:type="dxa"/>
          </w:tcPr>
          <w:p w:rsidR="009520A9" w:rsidRDefault="00770482">
            <w:pPr>
              <w:jc w:val="center"/>
            </w:pPr>
            <w:r>
              <w:t>Postotak nastavnika i pristupnika</w:t>
            </w:r>
          </w:p>
        </w:tc>
        <w:tc>
          <w:tcPr>
            <w:tcW w:w="918" w:type="dxa"/>
          </w:tcPr>
          <w:p w:rsidR="009520A9" w:rsidRDefault="00770482">
            <w:pPr>
              <w:jc w:val="center"/>
            </w:pPr>
            <w:r>
              <w:t>0 %</w:t>
            </w:r>
          </w:p>
        </w:tc>
        <w:tc>
          <w:tcPr>
            <w:tcW w:w="918" w:type="dxa"/>
          </w:tcPr>
          <w:p w:rsidR="009520A9" w:rsidRDefault="00770482">
            <w:pPr>
              <w:pStyle w:val="CellColumn"/>
              <w:jc w:val="center"/>
            </w:pPr>
            <w:r>
              <w:rPr>
                <w:rFonts w:cs="Times New Roman"/>
              </w:rPr>
              <w:t>NCVVO</w:t>
            </w:r>
          </w:p>
        </w:tc>
        <w:tc>
          <w:tcPr>
            <w:tcW w:w="918" w:type="dxa"/>
          </w:tcPr>
          <w:p w:rsidR="009520A9" w:rsidRDefault="00770482">
            <w:pPr>
              <w:jc w:val="center"/>
            </w:pPr>
            <w:r>
              <w:t>100 %</w:t>
            </w:r>
          </w:p>
        </w:tc>
        <w:tc>
          <w:tcPr>
            <w:tcW w:w="918" w:type="dxa"/>
          </w:tcPr>
          <w:p w:rsidR="009520A9" w:rsidRDefault="00770482">
            <w:pPr>
              <w:jc w:val="center"/>
            </w:pPr>
            <w:r>
              <w:t xml:space="preserve">2 </w:t>
            </w:r>
          </w:p>
          <w:p w:rsidR="009520A9" w:rsidRDefault="00770482">
            <w:pPr>
              <w:jc w:val="center"/>
            </w:pPr>
            <w:r>
              <w:t>100 %</w:t>
            </w:r>
          </w:p>
        </w:tc>
        <w:tc>
          <w:tcPr>
            <w:tcW w:w="918" w:type="dxa"/>
          </w:tcPr>
          <w:p w:rsidR="009520A9" w:rsidRDefault="00770482">
            <w:pPr>
              <w:jc w:val="center"/>
            </w:pPr>
            <w:r>
              <w:t>100 %</w:t>
            </w:r>
          </w:p>
        </w:tc>
      </w:tr>
    </w:tbl>
    <w:p w:rsidR="009520A9" w:rsidRDefault="009520A9">
      <w:pPr>
        <w:jc w:val="left"/>
      </w:pPr>
    </w:p>
    <w:p w:rsidR="009520A9" w:rsidRDefault="00770482">
      <w:pPr>
        <w:pStyle w:val="Heading4"/>
      </w:pPr>
      <w:r>
        <w:t>A814003 NACIONALNI ISPITI</w:t>
      </w:r>
    </w:p>
    <w:p w:rsidR="009520A9" w:rsidRDefault="00770482">
      <w:pPr>
        <w:pStyle w:val="Heading8"/>
        <w:jc w:val="left"/>
      </w:pPr>
      <w:r>
        <w:t>Zakonske i druge pravne osnove</w:t>
      </w:r>
    </w:p>
    <w:p w:rsidR="009520A9" w:rsidRDefault="00770482">
      <w:r>
        <w:t xml:space="preserve">• Zakon o Nacionalnom centru za vanjsko vrednovanje obrazovanja  </w:t>
      </w:r>
    </w:p>
    <w:p w:rsidR="009520A9" w:rsidRDefault="00770482">
      <w:r>
        <w:t>• Zakon o odgoju i obrazovanju u osnovnoj i srednjoj školi</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A814003</w:t>
            </w:r>
          </w:p>
        </w:tc>
        <w:tc>
          <w:tcPr>
            <w:tcW w:w="1632" w:type="dxa"/>
            <w:vAlign w:val="top"/>
          </w:tcPr>
          <w:p w:rsidR="009520A9" w:rsidRDefault="00770482">
            <w:pPr>
              <w:jc w:val="right"/>
            </w:pPr>
            <w:r>
              <w:t>362.579</w:t>
            </w:r>
          </w:p>
        </w:tc>
        <w:tc>
          <w:tcPr>
            <w:tcW w:w="1632" w:type="dxa"/>
            <w:vAlign w:val="top"/>
          </w:tcPr>
          <w:p w:rsidR="009520A9" w:rsidRDefault="00770482">
            <w:pPr>
              <w:jc w:val="right"/>
            </w:pPr>
            <w:r>
              <w:t>69.476</w:t>
            </w:r>
          </w:p>
        </w:tc>
        <w:tc>
          <w:tcPr>
            <w:tcW w:w="1632" w:type="dxa"/>
            <w:vAlign w:val="top"/>
          </w:tcPr>
          <w:p w:rsidR="009520A9" w:rsidRDefault="00770482">
            <w:pPr>
              <w:jc w:val="right"/>
            </w:pPr>
            <w:r>
              <w:t>52.966</w:t>
            </w:r>
          </w:p>
        </w:tc>
        <w:tc>
          <w:tcPr>
            <w:tcW w:w="1632" w:type="dxa"/>
            <w:vAlign w:val="top"/>
          </w:tcPr>
          <w:p w:rsidR="009520A9" w:rsidRDefault="00770482">
            <w:pPr>
              <w:jc w:val="right"/>
            </w:pPr>
            <w:r>
              <w:t>52.966</w:t>
            </w:r>
          </w:p>
        </w:tc>
        <w:tc>
          <w:tcPr>
            <w:tcW w:w="1632" w:type="dxa"/>
            <w:vAlign w:val="top"/>
          </w:tcPr>
          <w:p w:rsidR="009520A9" w:rsidRDefault="00770482">
            <w:pPr>
              <w:jc w:val="right"/>
            </w:pPr>
            <w:r>
              <w:t>52.966</w:t>
            </w:r>
          </w:p>
        </w:tc>
        <w:tc>
          <w:tcPr>
            <w:tcW w:w="510" w:type="dxa"/>
            <w:vAlign w:val="top"/>
          </w:tcPr>
          <w:p w:rsidR="009520A9" w:rsidRDefault="00770482">
            <w:pPr>
              <w:jc w:val="right"/>
            </w:pPr>
            <w:r>
              <w:t>76,2</w:t>
            </w:r>
          </w:p>
        </w:tc>
      </w:tr>
    </w:tbl>
    <w:p w:rsidR="009520A9" w:rsidRDefault="009520A9">
      <w:pPr>
        <w:jc w:val="left"/>
      </w:pPr>
    </w:p>
    <w:p w:rsidR="009520A9" w:rsidRDefault="00770482">
      <w:r>
        <w:t>Cilj je provedbe nacionalnih ispita uspostavljanje usklađenoga i učinkovitoga sustava odgoja i obrazovanja te sustava kvalitete. Predviđeno je da se projekt s tim ciljem provede u školskoj godini 2023./24. u svim osnovnim školama za učenike 4. i 8. razreda</w:t>
      </w:r>
      <w:r>
        <w:t xml:space="preserve">. Na taj će se način uspostaviti snažan, stručno utemeljen i učinkovit mehanizam koji će dugoročno pridonijeti razvoju kvalitetnoga i učinkovitoga odgojno-obrazovnog sustava. U sklopu ovoga projekta provest će se osam, odnosno devet (za učenike pripadnike </w:t>
      </w:r>
      <w:r>
        <w:t>nacionalnih manjina) ispita za učenike 8. razreda te tri ispita za učenike 4. razreda.</w:t>
      </w:r>
    </w:p>
    <w:p w:rsidR="009520A9" w:rsidRDefault="00770482">
      <w:pPr>
        <w:pStyle w:val="Heading4"/>
      </w:pPr>
      <w:r>
        <w:t>A814007 UNAPREĐENJE KVALITETE OBRAZOVNOG SUSTAVA</w:t>
      </w:r>
    </w:p>
    <w:p w:rsidR="009520A9" w:rsidRDefault="00770482">
      <w:pPr>
        <w:pStyle w:val="Heading8"/>
        <w:jc w:val="left"/>
      </w:pPr>
      <w:r>
        <w:t>Zakonske i druge pravne osnove</w:t>
      </w:r>
    </w:p>
    <w:p w:rsidR="009520A9" w:rsidRDefault="00770482">
      <w:r>
        <w:t xml:space="preserve">• Zakon o Nacionalnom centru za vanjsko vrednovanje obrazovanja  </w:t>
      </w:r>
    </w:p>
    <w:p w:rsidR="009520A9" w:rsidRDefault="00770482">
      <w:r>
        <w:t>• Zakon o odgoju i obra</w:t>
      </w:r>
      <w:r>
        <w:t>zovanju u osnovnoj i srednjoj školi, članak 4</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A814007</w:t>
            </w:r>
          </w:p>
        </w:tc>
        <w:tc>
          <w:tcPr>
            <w:tcW w:w="1632" w:type="dxa"/>
            <w:vAlign w:val="top"/>
          </w:tcPr>
          <w:p w:rsidR="009520A9" w:rsidRDefault="00770482">
            <w:pPr>
              <w:jc w:val="right"/>
            </w:pPr>
            <w:r>
              <w:t>15.953</w:t>
            </w:r>
          </w:p>
        </w:tc>
        <w:tc>
          <w:tcPr>
            <w:tcW w:w="1632" w:type="dxa"/>
            <w:vAlign w:val="top"/>
          </w:tcPr>
          <w:p w:rsidR="009520A9" w:rsidRDefault="00770482">
            <w:pPr>
              <w:jc w:val="right"/>
            </w:pPr>
            <w:r>
              <w:t>51.100</w:t>
            </w:r>
          </w:p>
        </w:tc>
        <w:tc>
          <w:tcPr>
            <w:tcW w:w="1632" w:type="dxa"/>
            <w:vAlign w:val="top"/>
          </w:tcPr>
          <w:p w:rsidR="009520A9" w:rsidRDefault="00770482">
            <w:pPr>
              <w:jc w:val="right"/>
            </w:pPr>
            <w:r>
              <w:t>43.542</w:t>
            </w:r>
          </w:p>
        </w:tc>
        <w:tc>
          <w:tcPr>
            <w:tcW w:w="1632" w:type="dxa"/>
            <w:vAlign w:val="top"/>
          </w:tcPr>
          <w:p w:rsidR="009520A9" w:rsidRDefault="00770482">
            <w:pPr>
              <w:jc w:val="right"/>
            </w:pPr>
            <w:r>
              <w:t>43.543</w:t>
            </w:r>
          </w:p>
        </w:tc>
        <w:tc>
          <w:tcPr>
            <w:tcW w:w="1632" w:type="dxa"/>
            <w:vAlign w:val="top"/>
          </w:tcPr>
          <w:p w:rsidR="009520A9" w:rsidRDefault="00770482">
            <w:pPr>
              <w:jc w:val="right"/>
            </w:pPr>
            <w:r>
              <w:t>43.543</w:t>
            </w:r>
          </w:p>
        </w:tc>
        <w:tc>
          <w:tcPr>
            <w:tcW w:w="510" w:type="dxa"/>
            <w:vAlign w:val="top"/>
          </w:tcPr>
          <w:p w:rsidR="009520A9" w:rsidRDefault="00770482">
            <w:pPr>
              <w:jc w:val="right"/>
            </w:pPr>
            <w:r>
              <w:t>85,2</w:t>
            </w:r>
          </w:p>
        </w:tc>
      </w:tr>
    </w:tbl>
    <w:p w:rsidR="009520A9" w:rsidRDefault="009520A9">
      <w:pPr>
        <w:jc w:val="left"/>
      </w:pPr>
    </w:p>
    <w:p w:rsidR="009520A9" w:rsidRDefault="00770482">
      <w:r>
        <w:t xml:space="preserve">Unapređenje kvalitete obrazovnoga sustava sastoji se od različitih aktivnosti koje obuhvaćaju izradu i provedbu različitih ispita hrvatskoga kao inoga ili stranoga jezika i za izradu sadržajne analize rezultata nacionalnih ispita i diseminaciju rezultata. </w:t>
      </w:r>
      <w:r>
        <w:t xml:space="preserve">   </w:t>
      </w:r>
    </w:p>
    <w:p w:rsidR="009520A9" w:rsidRDefault="00770482">
      <w:r>
        <w:t xml:space="preserve">Ova aktivnost sastoji se od sljedećih elemenata/podaktivnosti:   </w:t>
      </w:r>
    </w:p>
    <w:p w:rsidR="009520A9" w:rsidRDefault="00770482">
      <w:r>
        <w:t>1.</w:t>
      </w:r>
      <w:r>
        <w:tab/>
        <w:t xml:space="preserve">izrada ispita za hrvatski jezik kao ini ili strani jezik    </w:t>
      </w:r>
    </w:p>
    <w:p w:rsidR="009520A9" w:rsidRDefault="00770482">
      <w:r>
        <w:t>2.</w:t>
      </w:r>
      <w:r>
        <w:tab/>
        <w:t xml:space="preserve">sadržajna analiza rezultata nacionalnih ispita i diseminacija rezultata     </w:t>
      </w:r>
    </w:p>
    <w:p w:rsidR="009520A9" w:rsidRDefault="00770482">
      <w:r>
        <w:t xml:space="preserve"> </w:t>
      </w:r>
    </w:p>
    <w:p w:rsidR="009520A9" w:rsidRDefault="00770482">
      <w:r>
        <w:t xml:space="preserve">1. Izrada ispita za hrvatski jezik kao ini ili strani jezik    </w:t>
      </w:r>
    </w:p>
    <w:p w:rsidR="009520A9" w:rsidRDefault="00770482">
      <w:r>
        <w:t>U 2024. godini planirano je doraditi ispitni katalog i sastaviti nove ispitne inačice za Standardizirani ispit znanja hrvatskoga jezika za učenike srednje škole koji ne znaju ili nedovoljno zn</w:t>
      </w:r>
      <w:r>
        <w:t xml:space="preserve">aju hrvatski jezik te ga dodatno prilagoditi za učenike osnovne škole.  </w:t>
      </w:r>
    </w:p>
    <w:p w:rsidR="009520A9" w:rsidRDefault="00770482">
      <w:r>
        <w:t xml:space="preserve">Izračun financijskoga plana  </w:t>
      </w:r>
    </w:p>
    <w:p w:rsidR="009520A9" w:rsidRDefault="00770482">
      <w:r>
        <w:t>U 2024. godini planirana su sredstva za naknadu vanjskim suradnicima u iznosu od 6.000,00 EUR za izradu ispitnog kataloga i izradu novih ispitnih inačica</w:t>
      </w:r>
      <w:r>
        <w:t xml:space="preserve"> za ispit za učenike koji ne znaju ili nedovoljno znaju hrvatski jezik.   </w:t>
      </w:r>
    </w:p>
    <w:p w:rsidR="009520A9" w:rsidRDefault="00770482">
      <w:r>
        <w:t xml:space="preserve">U 2025. bit će izrađene 2 nove ispitne inačice te će troškovi biti 6.000,00 EUR.   </w:t>
      </w:r>
    </w:p>
    <w:p w:rsidR="009520A9" w:rsidRDefault="00770482">
      <w:r>
        <w:t xml:space="preserve">U 2026. bit će izrađene 2 nove ispitne inačice te će troškovi biti 6.000,00 EUR.   </w:t>
      </w:r>
    </w:p>
    <w:p w:rsidR="009520A9" w:rsidRDefault="00770482">
      <w:r>
        <w:t xml:space="preserve">  </w:t>
      </w:r>
    </w:p>
    <w:p w:rsidR="009520A9" w:rsidRDefault="00770482">
      <w:r>
        <w:t>2. Sadržaj</w:t>
      </w:r>
      <w:r>
        <w:t xml:space="preserve">na analiza rezultata nacionalnih ispita i diseminacija rezultata  </w:t>
      </w:r>
    </w:p>
    <w:p w:rsidR="009520A9" w:rsidRDefault="00770482">
      <w:r>
        <w:t>Centar je u 2023. godini proveo, obradio, analizirao i prezentirao rezultate provedenih nacionalnih ispita u četvrtom i osmome razredu. Cilj je provedbe nacionalnih ispita utvrditi razine p</w:t>
      </w:r>
      <w:r>
        <w:t>ostignuća učenika na nacionalnoj razini u ključnim dijelovima obrazovnih ciklusa. U 2024. godini nastavit će se raditi na analizama nacionalnih ispita koji će biti provedeni u listopadu 2022. te u ožujku 2023. godine. Izvješća će biti otisnuta te će rezult</w:t>
      </w:r>
      <w:r>
        <w:t xml:space="preserve">ati biti diseminirani stručnoj i široj javnosti.   </w:t>
      </w:r>
    </w:p>
    <w:p w:rsidR="009520A9" w:rsidRDefault="00770482">
      <w:r>
        <w:t xml:space="preserve">Izračun financijskoga plana  </w:t>
      </w:r>
    </w:p>
    <w:p w:rsidR="009520A9" w:rsidRDefault="00770482">
      <w:r>
        <w:t xml:space="preserve">U 2024. planirana su sredstva u iznosu od 5.000,00 EUR za tisak izvještaja, 6.000,00 EUR za diseminaciju rezultata. </w:t>
      </w:r>
    </w:p>
    <w:p w:rsidR="009520A9" w:rsidRDefault="00770482">
      <w:r>
        <w:t>Budući da se nacionalni ispiti planiraju nastaviti provoditi, jednaki troškovi predviđaju se u 2025. i u 2026. godini.</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w:t>
            </w:r>
            <w:r>
              <w:rPr>
                <w:rFonts w:cs="Times New Roman"/>
              </w:rPr>
              <w:t>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dorađenih ispitnih kataloga za hrvatski jezik kao ini ili strani jezik</w:t>
            </w:r>
          </w:p>
        </w:tc>
        <w:tc>
          <w:tcPr>
            <w:tcW w:w="2245" w:type="dxa"/>
            <w:vAlign w:val="top"/>
          </w:tcPr>
          <w:p w:rsidR="009520A9" w:rsidRDefault="00770482">
            <w:pPr>
              <w:pStyle w:val="CellColumn"/>
              <w:jc w:val="left"/>
            </w:pPr>
            <w:r>
              <w:rPr>
                <w:rFonts w:cs="Times New Roman"/>
              </w:rPr>
              <w:t>Izrađen ispitni katalog za hrvatski jezik kao ini ili strani jezik</w:t>
            </w:r>
          </w:p>
        </w:tc>
        <w:tc>
          <w:tcPr>
            <w:tcW w:w="918" w:type="dxa"/>
          </w:tcPr>
          <w:p w:rsidR="009520A9" w:rsidRDefault="00770482">
            <w:pPr>
              <w:jc w:val="center"/>
            </w:pPr>
            <w:r>
              <w:t>Broj kataloga</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r w:rsidR="009520A9">
        <w:trPr>
          <w:jc w:val="center"/>
        </w:trPr>
        <w:tc>
          <w:tcPr>
            <w:tcW w:w="2245" w:type="dxa"/>
            <w:vAlign w:val="top"/>
          </w:tcPr>
          <w:p w:rsidR="009520A9" w:rsidRDefault="00770482">
            <w:pPr>
              <w:pStyle w:val="CellColumn"/>
              <w:jc w:val="left"/>
            </w:pPr>
            <w:r>
              <w:rPr>
                <w:rFonts w:cs="Times New Roman"/>
              </w:rPr>
              <w:t>Broj ispitnih inačica za hrvatski jezik kao ini ili strani jezik</w:t>
            </w:r>
          </w:p>
        </w:tc>
        <w:tc>
          <w:tcPr>
            <w:tcW w:w="2245" w:type="dxa"/>
            <w:vAlign w:val="top"/>
          </w:tcPr>
          <w:p w:rsidR="009520A9" w:rsidRDefault="00770482">
            <w:pPr>
              <w:pStyle w:val="CellColumn"/>
              <w:jc w:val="left"/>
            </w:pPr>
            <w:r>
              <w:rPr>
                <w:rFonts w:cs="Times New Roman"/>
              </w:rPr>
              <w:t>Izrađene ispitne inačice za hrvatski jezik kao ini ili strani jezik</w:t>
            </w:r>
          </w:p>
        </w:tc>
        <w:tc>
          <w:tcPr>
            <w:tcW w:w="918" w:type="dxa"/>
          </w:tcPr>
          <w:p w:rsidR="009520A9" w:rsidRDefault="00770482">
            <w:pPr>
              <w:jc w:val="center"/>
            </w:pPr>
            <w:r>
              <w:t>Broj inačica</w:t>
            </w:r>
          </w:p>
        </w:tc>
        <w:tc>
          <w:tcPr>
            <w:tcW w:w="918" w:type="dxa"/>
          </w:tcPr>
          <w:p w:rsidR="009520A9" w:rsidRDefault="00770482">
            <w:pPr>
              <w:jc w:val="center"/>
            </w:pPr>
            <w:r>
              <w:t>2</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2</w:t>
            </w:r>
          </w:p>
        </w:tc>
        <w:tc>
          <w:tcPr>
            <w:tcW w:w="918" w:type="dxa"/>
          </w:tcPr>
          <w:p w:rsidR="009520A9" w:rsidRDefault="00770482">
            <w:pPr>
              <w:jc w:val="center"/>
            </w:pPr>
            <w:r>
              <w:t>2</w:t>
            </w:r>
          </w:p>
        </w:tc>
        <w:tc>
          <w:tcPr>
            <w:tcW w:w="918" w:type="dxa"/>
          </w:tcPr>
          <w:p w:rsidR="009520A9" w:rsidRDefault="00770482">
            <w:pPr>
              <w:jc w:val="center"/>
            </w:pPr>
            <w:r>
              <w:t>2</w:t>
            </w:r>
          </w:p>
        </w:tc>
      </w:tr>
      <w:tr w:rsidR="009520A9">
        <w:trPr>
          <w:jc w:val="center"/>
        </w:trPr>
        <w:tc>
          <w:tcPr>
            <w:tcW w:w="2245" w:type="dxa"/>
            <w:vAlign w:val="top"/>
          </w:tcPr>
          <w:p w:rsidR="009520A9" w:rsidRDefault="00770482">
            <w:pPr>
              <w:pStyle w:val="CellColumn"/>
              <w:jc w:val="left"/>
            </w:pPr>
            <w:r>
              <w:rPr>
                <w:rFonts w:cs="Times New Roman"/>
              </w:rPr>
              <w:t>Broj izvještaja o rezultatima nacionalih ispita</w:t>
            </w:r>
          </w:p>
        </w:tc>
        <w:tc>
          <w:tcPr>
            <w:tcW w:w="2245" w:type="dxa"/>
            <w:vAlign w:val="top"/>
          </w:tcPr>
          <w:p w:rsidR="009520A9" w:rsidRDefault="00770482">
            <w:pPr>
              <w:pStyle w:val="CellColumn"/>
              <w:jc w:val="left"/>
            </w:pPr>
            <w:r>
              <w:rPr>
                <w:rFonts w:cs="Times New Roman"/>
              </w:rPr>
              <w:t>Izrađen izvještaj o rezultatima nacionalnih is</w:t>
            </w:r>
            <w:r>
              <w:rPr>
                <w:rFonts w:cs="Times New Roman"/>
              </w:rPr>
              <w:t>pita u osnovnoj školi</w:t>
            </w:r>
          </w:p>
        </w:tc>
        <w:tc>
          <w:tcPr>
            <w:tcW w:w="918" w:type="dxa"/>
          </w:tcPr>
          <w:p w:rsidR="009520A9" w:rsidRDefault="00770482">
            <w:pPr>
              <w:jc w:val="center"/>
            </w:pPr>
            <w:r>
              <w:t>Broj izvještaja</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bl>
    <w:p w:rsidR="009520A9" w:rsidRDefault="009520A9">
      <w:pPr>
        <w:jc w:val="left"/>
      </w:pPr>
    </w:p>
    <w:p w:rsidR="009520A9" w:rsidRDefault="00770482">
      <w:pPr>
        <w:pStyle w:val="Heading4"/>
      </w:pPr>
      <w:r>
        <w:t>K814013 PROGRAM UČINKOVITI LJUDSKI POTENCIJALI 2021.-2027.., PRIORITET 2 - OBRAZOVANJE I CJELOŽIVOTNO UČENJE</w:t>
      </w:r>
    </w:p>
    <w:p w:rsidR="009520A9" w:rsidRDefault="00770482">
      <w:pPr>
        <w:pStyle w:val="Heading8"/>
        <w:jc w:val="left"/>
      </w:pPr>
      <w:r>
        <w:t>Zakonske i druge pravne osnove</w:t>
      </w:r>
    </w:p>
    <w:p w:rsidR="009520A9" w:rsidRDefault="00770482">
      <w:r>
        <w:t xml:space="preserve">• Zakon o Nacionalnom centru za vanjsko vrednovanje obrazovanja  </w:t>
      </w:r>
    </w:p>
    <w:p w:rsidR="009520A9" w:rsidRDefault="00770482">
      <w:r>
        <w:t>• Zakon o odgoju i obrazovanju u osnovnoj i srednjoj školi</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K814013</w:t>
            </w:r>
          </w:p>
        </w:tc>
        <w:tc>
          <w:tcPr>
            <w:tcW w:w="1632" w:type="dxa"/>
            <w:vAlign w:val="top"/>
          </w:tcPr>
          <w:p w:rsidR="009520A9" w:rsidRDefault="00770482">
            <w:pPr>
              <w:jc w:val="right"/>
            </w:pPr>
            <w:r>
              <w:t>00</w:t>
            </w:r>
          </w:p>
        </w:tc>
        <w:tc>
          <w:tcPr>
            <w:tcW w:w="1632" w:type="dxa"/>
            <w:vAlign w:val="top"/>
          </w:tcPr>
          <w:p w:rsidR="009520A9" w:rsidRDefault="00770482">
            <w:pPr>
              <w:jc w:val="right"/>
            </w:pPr>
            <w:r>
              <w:t>4.495.348</w:t>
            </w:r>
          </w:p>
        </w:tc>
        <w:tc>
          <w:tcPr>
            <w:tcW w:w="1632" w:type="dxa"/>
            <w:vAlign w:val="top"/>
          </w:tcPr>
          <w:p w:rsidR="009520A9" w:rsidRDefault="00770482">
            <w:pPr>
              <w:jc w:val="right"/>
            </w:pPr>
            <w:r>
              <w:t>5.359.847</w:t>
            </w:r>
          </w:p>
        </w:tc>
        <w:tc>
          <w:tcPr>
            <w:tcW w:w="1632" w:type="dxa"/>
            <w:vAlign w:val="top"/>
          </w:tcPr>
          <w:p w:rsidR="009520A9" w:rsidRDefault="00770482">
            <w:pPr>
              <w:jc w:val="right"/>
            </w:pPr>
            <w:r>
              <w:t>5.059.847</w:t>
            </w:r>
          </w:p>
        </w:tc>
        <w:tc>
          <w:tcPr>
            <w:tcW w:w="1632" w:type="dxa"/>
            <w:vAlign w:val="top"/>
          </w:tcPr>
          <w:p w:rsidR="009520A9" w:rsidRDefault="00770482">
            <w:pPr>
              <w:jc w:val="right"/>
            </w:pPr>
            <w:r>
              <w:t>5.059.847</w:t>
            </w:r>
          </w:p>
        </w:tc>
        <w:tc>
          <w:tcPr>
            <w:tcW w:w="510" w:type="dxa"/>
            <w:vAlign w:val="top"/>
          </w:tcPr>
          <w:p w:rsidR="009520A9" w:rsidRDefault="00770482">
            <w:pPr>
              <w:jc w:val="right"/>
            </w:pPr>
            <w:r>
              <w:t>119,2</w:t>
            </w:r>
          </w:p>
        </w:tc>
      </w:tr>
    </w:tbl>
    <w:p w:rsidR="009520A9" w:rsidRDefault="009520A9">
      <w:pPr>
        <w:jc w:val="left"/>
      </w:pPr>
    </w:p>
    <w:p w:rsidR="009520A9" w:rsidRDefault="00770482">
      <w:r>
        <w:t>Cilj je provedbe nacionalnih ispita uspostavljanje usklađenoga i učinkovitoga sustava odgoja i obrazovanja te sustava kvalitete. Predviđeno je da se projekt s tim ciljem provede u školskoj godini 2023./2024. svim osnovnim školam</w:t>
      </w:r>
      <w:r>
        <w:t>a za učenike 8. razreda i 4. razreda. U sklopu aktivnosti uspostave sustava vanjskoga vrednovanja osnovnih škola na reprezentativnome uzorku osnovnih škola predtestirat će se predstavljeni model i pilotirat će se metodologija i instrumenti samovrednovanja.</w:t>
      </w:r>
      <w:r>
        <w:t xml:space="preserve"> Na taj će se način uspostaviti snažan, stručno utemeljen i učinkovit mehanizam koji će dugoročno pridonijeti razvoju kvalitetnoga i učinkovitoga odgojno-obrazovnog sustava. U sklopu ovoga projekta provest će se osam, odnosno devet (za učenike pripadnike n</w:t>
      </w:r>
      <w:r>
        <w:t xml:space="preserve">acionalnih manjina) ispita za učenike 8. razreda iz sljedećih nastavnih predmeta: Hrvatskoga jezika, Matematike, prvog stranog jezika, materinskog jezika (za učenike - pripadnike manjina), Biologije, Kemije, Fizike, Povijesti i Geografije te tri ispita za </w:t>
      </w:r>
      <w:r>
        <w:t xml:space="preserve">učenike 4. razreda iz Hrvatskoga jezika, Matematike i Prirode i društva. Predviđa se nastavak projekta i u školskoj godini 2024./2025. i 2025./2026. te provedba nacionalnih ispita za sve učenike 8. razreda i za učenike 4. razreda.   </w:t>
      </w:r>
    </w:p>
    <w:p w:rsidR="009520A9" w:rsidRDefault="00770482">
      <w:r>
        <w:t>Projekt provođenja nac</w:t>
      </w:r>
      <w:r>
        <w:t xml:space="preserve">ionalnih ispita u 2024., 2025. i u 2026. godini se sastoji od sljedećih podaktivnosti:   </w:t>
      </w:r>
    </w:p>
    <w:p w:rsidR="009520A9" w:rsidRDefault="00770482">
      <w:r>
        <w:t>1.</w:t>
      </w:r>
      <w:r>
        <w:tab/>
        <w:t xml:space="preserve">Priprema ispitnih materijala za tisak nacionalnih ispita za školsku godinu 2023./2024., 2024./2025. i 2025./2026.  </w:t>
      </w:r>
    </w:p>
    <w:p w:rsidR="009520A9" w:rsidRDefault="00770482">
      <w:r>
        <w:t>2.</w:t>
      </w:r>
      <w:r>
        <w:tab/>
        <w:t>Izrada nacionalnih ispita: sastavljanje ispi</w:t>
      </w:r>
      <w:r>
        <w:t xml:space="preserve">tnih zadataka, recenzije ispita, prilagodbe ispitnih tehnologija i prijevod ispita na jezike nacionalnih manjina.  </w:t>
      </w:r>
    </w:p>
    <w:p w:rsidR="009520A9" w:rsidRDefault="00770482">
      <w:r>
        <w:t>3.</w:t>
      </w:r>
      <w:r>
        <w:tab/>
        <w:t xml:space="preserve">Nabava programskog rješenja -  računalnog sustava po modulima za razvoj nacionalnih ispita i provedbu ispitivanja.  </w:t>
      </w:r>
    </w:p>
    <w:p w:rsidR="009520A9" w:rsidRDefault="00770482">
      <w:r>
        <w:t>4.</w:t>
      </w:r>
      <w:r>
        <w:tab/>
        <w:t>Tisak nacionalnih</w:t>
      </w:r>
      <w:r>
        <w:t xml:space="preserve"> ispita, pakiranje, obrada i distribucija ispitnih materijala u škole i povrat ispita iz škola.  </w:t>
      </w:r>
    </w:p>
    <w:p w:rsidR="009520A9" w:rsidRDefault="00770482">
      <w:r>
        <w:t>5.</w:t>
      </w:r>
      <w:r>
        <w:tab/>
        <w:t xml:space="preserve">Provedba  i ocjenjivanje nacionalnih ispita za učenike četvrtog i osmog razreda osnovnih škola.  </w:t>
      </w:r>
    </w:p>
    <w:p w:rsidR="009520A9" w:rsidRDefault="00770482">
      <w:r>
        <w:t>6.</w:t>
      </w:r>
      <w:r>
        <w:tab/>
        <w:t>Analize i izvještavanje o postignutim rezultatima učen</w:t>
      </w:r>
      <w:r>
        <w:t xml:space="preserve">ika četvrtog i osmog razreda osnovnih škola na provedenim nacionalnim ispitima.  </w:t>
      </w:r>
    </w:p>
    <w:p w:rsidR="009520A9" w:rsidRDefault="00770482">
      <w:r>
        <w:t xml:space="preserve">  </w:t>
      </w:r>
    </w:p>
    <w:p w:rsidR="009520A9" w:rsidRDefault="00770482">
      <w:r>
        <w:t xml:space="preserve">Izračun financijskoga plana   </w:t>
      </w:r>
    </w:p>
    <w:p w:rsidR="009520A9" w:rsidRDefault="00770482">
      <w:r>
        <w:t xml:space="preserve">  </w:t>
      </w:r>
    </w:p>
    <w:p w:rsidR="009520A9" w:rsidRDefault="00770482">
      <w:r>
        <w:t>1.</w:t>
      </w:r>
      <w:r>
        <w:tab/>
        <w:t xml:space="preserve">Tisak nacionalnih ispita, pakiranje i slanje nacionalnih ispita u osnovne škole te povrat nacionalnih ispita iz škola </w:t>
      </w:r>
    </w:p>
    <w:p w:rsidR="009520A9" w:rsidRDefault="00770482">
      <w:r>
        <w:t>Za potrebe tisk</w:t>
      </w:r>
      <w:r>
        <w:t>a nacionalnih ispita, pakiranje i slanje nacionalnih ispita u osnovne škole, raspakiravanje ispitnih materijala te povrat nacionalnih ispita iz osnovnih škola u 2024. godini planirano je 2.466.667,00 EUR. Planirani iznos uključuje 42.000,00 naklada za osam</w:t>
      </w:r>
      <w:r>
        <w:t xml:space="preserve"> predmeta osmih razreda osnovnih škola odnosno 336.000 kompleta ispita, dok tisak nacionalnih ispita za četvrti razred osnovnih škola uključuje 126.000 ispitnih kompleta (42.000 naklada za tisak za 3 predmeta). </w:t>
      </w:r>
    </w:p>
    <w:p w:rsidR="009520A9" w:rsidRDefault="00770482">
      <w:r>
        <w:t>U 2025. godini za usluge tiska nacionalnih i</w:t>
      </w:r>
      <w:r>
        <w:t xml:space="preserve">spita, pakiranje i slanje nacionalnih ispita u osnovne škole planirana su sredstva u iznosu 3.066.667,00 EUR za 562.000 kompleta ispita, dok su u 2026. godini planirana sredstva u iznosu 3.066.667,00 EUR za 562.000 kompleta nacionalnih ispita. </w:t>
      </w:r>
    </w:p>
    <w:p w:rsidR="009520A9" w:rsidRDefault="00770482">
      <w:r>
        <w:t xml:space="preserve"> </w:t>
      </w:r>
    </w:p>
    <w:p w:rsidR="009520A9" w:rsidRDefault="00770482">
      <w:r>
        <w:t>2.</w:t>
      </w:r>
      <w:r>
        <w:tab/>
        <w:t xml:space="preserve">Izrada nacionalnih ispita i ispitnih materijala i ocjenjivanje nacionalnih ispita </w:t>
      </w:r>
    </w:p>
    <w:p w:rsidR="009520A9" w:rsidRDefault="00770482">
      <w:r>
        <w:t>Izrada nacionalnih ispita uključuje angažiranje stručnih radnih skupina koje sudjeluju u sastavljanje ispitnih zadataka, izradama ispitnih inačica, recenzijama nacionalni</w:t>
      </w:r>
      <w:r>
        <w:t xml:space="preserve">h ispita, na prilagodbama ispitne tehnologije i prijevodu nacionalnih ispita na jezike nacionalnih manjina, na izradama razina postignuća te ocjenjivanju nacionalnih ispita.  </w:t>
      </w:r>
    </w:p>
    <w:p w:rsidR="009520A9" w:rsidRDefault="00770482">
      <w:r>
        <w:t xml:space="preserve">U 2024. godini planirana su sredstva u iznosu 1.600.000,00 EUR za stručne radne </w:t>
      </w:r>
      <w:r>
        <w:t xml:space="preserve">skupine koje sudjeluju u izradi i ocjenjivanju nacionalnih ispita za 40.000 učenika četvrtog razreda osnovnih škola iz Hrvatskog jezika, Matematike i Prirode i društva  te ukupno 39.500 učenika osmog razreda iz svih osnovnih škola u Republici Hrvatskoj iz </w:t>
      </w:r>
      <w:r>
        <w:t xml:space="preserve">Hrvatskog jezika, Matematike, prvog stranog jezika (Engleski/Njemački/Francuski jezik), Biologije, Geografije, Fizike, Kemije i Povijesti te ispiti iz jezika nacionalnih manjina, za pripadnike nacionalnih manjina. </w:t>
      </w:r>
    </w:p>
    <w:p w:rsidR="009520A9" w:rsidRDefault="00770482">
      <w:r>
        <w:t>Za izradu i ocjenjivanje nacionalnih ispi</w:t>
      </w:r>
      <w:r>
        <w:t xml:space="preserve">ta u 2025. godini za 40.000 učenika četvrtog razreda osnovnih škola i 41.000 učenika osmog razreda osnovnih škola planirana su sredstva u iznosu 1.600.000,00 EUR te u iznosu 1.600.000,00 EUR u 2026. godini za 40.000 učenika četvrtog razreda osnovnih škola </w:t>
      </w:r>
      <w:r>
        <w:t xml:space="preserve">i 40.000 učenika osmog razreda osnovnih škola. </w:t>
      </w:r>
    </w:p>
    <w:p w:rsidR="009520A9" w:rsidRDefault="00770482">
      <w:r>
        <w:t xml:space="preserve"> </w:t>
      </w:r>
    </w:p>
    <w:p w:rsidR="009520A9" w:rsidRDefault="00770482">
      <w:r>
        <w:t>3.</w:t>
      </w:r>
      <w:r>
        <w:tab/>
        <w:t xml:space="preserve">Uredski materijal i ostali materijalni rashodi </w:t>
      </w:r>
    </w:p>
    <w:p w:rsidR="009520A9" w:rsidRDefault="00770482">
      <w:r>
        <w:t>U 2024. godini planirana su sredstva u iznosu 180.000,00 EUR za potrebe nabavke uredskog materijala i ostalih materijalnih rashoda. Najveća stavka u planir</w:t>
      </w:r>
      <w:r>
        <w:t xml:space="preserve">anim sredstvima se odnose na sigurnosne vrećice za pakiranje nacionalnih ispita planirana za 562.000 kompleta ispita za učenike četvrtih i osmih razreda osnovnih škola koje sudjeluju u provođenju nacionalnih ispita, odnosno 180.000,00 EUR. Ostali troškovi </w:t>
      </w:r>
      <w:r>
        <w:t xml:space="preserve">ukljčuju nabavu uredskog materijala i potrebnog uredskog pribora za potrebe izrade ispita i pripremu materijala za daljnje faze razvoja ispita (lektura, korektura, stručne i metodološke recenzije ispita, prijevode, prilagodbe i prijelom). </w:t>
      </w:r>
    </w:p>
    <w:p w:rsidR="009520A9" w:rsidRDefault="00770482">
      <w:r>
        <w:t>U 2025. godini p</w:t>
      </w:r>
      <w:r>
        <w:t>lanirana su sredstva u iznosu 180.000,00 EUR za potrebe nabave 562.000 komada sigurnosnih vrećica i ostalog uredskog materijala i materijalnih rashoda za izradu ispita i pripremu materijala za daljnje faze razvoja, te 180.000,00 EUR u 2026. godini za nabav</w:t>
      </w:r>
      <w:r>
        <w:t xml:space="preserve">u 562.000 komada sigurnosnih vrećica i ostalog uredskog materijala. </w:t>
      </w:r>
    </w:p>
    <w:p w:rsidR="009520A9" w:rsidRDefault="00770482">
      <w:r>
        <w:t xml:space="preserve"> </w:t>
      </w:r>
    </w:p>
    <w:p w:rsidR="009520A9" w:rsidRDefault="00770482">
      <w:r>
        <w:t>4.</w:t>
      </w:r>
      <w:r>
        <w:tab/>
        <w:t xml:space="preserve">Službena putovanja i nadoknada troškova zaposlenima koji sudjeluju u provođenju nacionalnih ispita </w:t>
      </w:r>
    </w:p>
    <w:p w:rsidR="009520A9" w:rsidRDefault="00770482">
      <w:r>
        <w:t>U 2024. godini planirana su sredstva u iznosu 8.000,00 EUR za potrebe naknade troš</w:t>
      </w:r>
      <w:r>
        <w:t xml:space="preserve">kova službenog putovanja djelatnicima koji rade na poslovima provedbe nacionalnih ispita: za isplatu dnevnica, naknada za smještaj i prijevoz na službenom putu te za ostale rashode službenog putovanja. </w:t>
      </w:r>
    </w:p>
    <w:p w:rsidR="009520A9" w:rsidRDefault="00770482">
      <w:r>
        <w:t>U 2025. godini za nadoknadu troškova zaposlenima za s</w:t>
      </w:r>
      <w:r>
        <w:t xml:space="preserve">lužbena putovanja planirana su sredstva u iznosu 8.000,00 EUR te u 2026. godini u iznosu  8.000,00 EUR. </w:t>
      </w:r>
    </w:p>
    <w:p w:rsidR="009520A9" w:rsidRDefault="00770482">
      <w:r>
        <w:t xml:space="preserve"> </w:t>
      </w:r>
    </w:p>
    <w:p w:rsidR="009520A9" w:rsidRDefault="00770482">
      <w:r>
        <w:t>5.</w:t>
      </w:r>
      <w:r>
        <w:tab/>
        <w:t xml:space="preserve">Ulaganje u računalne programe </w:t>
      </w:r>
    </w:p>
    <w:p w:rsidR="009520A9" w:rsidRDefault="00770482">
      <w:r>
        <w:t>Planirana sredstva za 2024. godinu u iznosu 900.000,00 EUR za računalne programe podrazumijevaju obradu rezultata t</w:t>
      </w:r>
      <w:r>
        <w:t>e nabavu računalnog sustava po modulima za razvoj nacionalnih ispita i provedbu ispitivanja, uspostavu ICT infrastrukture te usluge unaprjeđenja razine sigurnosti pripreme nacionalnih ispita. Nabava računalnog sustava prati sve faze razvoja ispita od pripr</w:t>
      </w:r>
      <w:r>
        <w:t xml:space="preserve">eme ispitnih specifikacija zadataka do izvještavanja nakon provedbe ispitivanja. </w:t>
      </w:r>
    </w:p>
    <w:p w:rsidR="009520A9" w:rsidRDefault="00770482">
      <w:r>
        <w:t xml:space="preserve"> </w:t>
      </w:r>
    </w:p>
    <w:p w:rsidR="009520A9" w:rsidRDefault="00770482">
      <w:r>
        <w:t xml:space="preserve">U 2025. godini te u 2026. godini nisu planirana sredstva. </w:t>
      </w:r>
    </w:p>
    <w:p w:rsidR="009520A9" w:rsidRDefault="00770482">
      <w:r>
        <w:t xml:space="preserve"> </w:t>
      </w:r>
    </w:p>
    <w:p w:rsidR="009520A9" w:rsidRDefault="00770482">
      <w:r>
        <w:t>6.</w:t>
      </w:r>
      <w:r>
        <w:tab/>
        <w:t xml:space="preserve">Zakupnine i najamnine </w:t>
      </w:r>
    </w:p>
    <w:p w:rsidR="009520A9" w:rsidRDefault="00770482">
      <w:r>
        <w:t>U 2024. godini planirana su sredstva u iznosu 1.000,00 EUR za potrebe zakupa prostora</w:t>
      </w:r>
      <w:r>
        <w:t xml:space="preserve"> za obavljanje dodatnog posla koji zbog prostornih razloga nije moguće odraditi u Centru poput najma prostora za snimanje zvučnih zapisa za slušni dio ispita iz stranih jezika, za potrebe održavanja stručnih skupova, u 2025. godini planirana su sredstva u </w:t>
      </w:r>
      <w:r>
        <w:t xml:space="preserve">iznosu 1.000,00 EUR te u 2026. godini u iznosu 1.000,00 EUR. </w:t>
      </w:r>
    </w:p>
    <w:p w:rsidR="009520A9" w:rsidRDefault="00770482">
      <w:r>
        <w:t xml:space="preserve"> </w:t>
      </w:r>
    </w:p>
    <w:p w:rsidR="009520A9" w:rsidRDefault="00770482">
      <w:r>
        <w:t>7.</w:t>
      </w:r>
      <w:r>
        <w:tab/>
        <w:t xml:space="preserve">Naknade troškova vanjskim suradnicima koji sudjeluju u provođenju nacionalnih ispita </w:t>
      </w:r>
    </w:p>
    <w:p w:rsidR="009520A9" w:rsidRDefault="00770482">
      <w:r>
        <w:t>Vanjskim suradnicima koji sudjeluju u provođenju nacionalnih ispita za četvrti i osmi razred osnovnih š</w:t>
      </w:r>
      <w:r>
        <w:t>kola planirana je refundacija putnih troškova te osiguravanje hotelskog smještaja u iznosu 160.000,00 EUR u 2024. godini. Vanjski suradnici su angažirani kao članovi stručnih radnih skupina, ocjenjivači, recenzenti, prevoditelji, lektori, stručnjaci za rad</w:t>
      </w:r>
      <w:r>
        <w:t xml:space="preserve"> na ispitima prilagodbe ispitne tehnologije. Planirana sredstva naknade troškova vanjskim suradnicima u 2024. godini se odnose na 1.800 ocjenjivača nacionalnih ispita i 562.000 provedenih ispita. </w:t>
      </w:r>
    </w:p>
    <w:p w:rsidR="009520A9" w:rsidRDefault="00770482">
      <w:r>
        <w:t>U 2024. godini planirana su sredstva u iznosu 160.000,00 EU</w:t>
      </w:r>
      <w:r>
        <w:t xml:space="preserve">R za potrebe refundacije putnih troškova i osiguranje hotelskog smještaja vanjskih suradnika koji sudjeluju u provođenju nacionalnih ispita za 1.800 ocjenjivača i te u 2026. godini planirana su sredstva u iznosu 160.000,00 EUR za 1.800 ocjenjivača. </w:t>
      </w:r>
    </w:p>
    <w:p w:rsidR="009520A9" w:rsidRDefault="00770482">
      <w:r>
        <w:t xml:space="preserve"> </w:t>
      </w:r>
    </w:p>
    <w:p w:rsidR="009520A9" w:rsidRDefault="00770482">
      <w:r>
        <w:t xml:space="preserve"> </w:t>
      </w:r>
    </w:p>
    <w:p w:rsidR="009520A9" w:rsidRDefault="00770482">
      <w:r>
        <w:t xml:space="preserve"> </w:t>
      </w:r>
    </w:p>
    <w:p w:rsidR="009520A9" w:rsidRDefault="00770482">
      <w:r>
        <w:t>8.</w:t>
      </w:r>
      <w:r>
        <w:tab/>
        <w:t xml:space="preserve">Tekuće pomoći proračunskim korisnicima drugih proračuna </w:t>
      </w:r>
    </w:p>
    <w:p w:rsidR="009520A9" w:rsidRDefault="00770482">
      <w:r>
        <w:t xml:space="preserve">U 2024. godini planirana su sredstva u iznosu 33.180,00 EUR za nadoknade putnih troškova vanjskih suradnika koji sudjeluju u provođenju nacionalnih ispita kojima su ustanove u kojima su zaposleni </w:t>
      </w:r>
      <w:r>
        <w:t xml:space="preserve">izdali putne naloge. Putni troškovi se isplaćuju vanjskim suradnicima sukladno sklopljenoj Odluci o mjerilima za naknadu troškova prijevoza i smještaja vanjskim suradnicima Nacionalnog centra za vanjsko vrednovanje obrazovanja. U 2025. godini planirana su </w:t>
      </w:r>
      <w:r>
        <w:t xml:space="preserve">sredstva u iznosu 33.180,00  EUR te u 2026. godini u iznosu 33.180,00 EUR. </w:t>
      </w:r>
    </w:p>
    <w:p w:rsidR="009520A9" w:rsidRDefault="00770482">
      <w:r>
        <w:t xml:space="preserve"> </w:t>
      </w:r>
    </w:p>
    <w:p w:rsidR="009520A9" w:rsidRDefault="00770482">
      <w:r>
        <w:t>9.</w:t>
      </w:r>
      <w:r>
        <w:tab/>
        <w:t xml:space="preserve">Usluge promidžbe i informiranja </w:t>
      </w:r>
    </w:p>
    <w:p w:rsidR="009520A9" w:rsidRDefault="00770482">
      <w:r>
        <w:t xml:space="preserve">Planirana su sredstva u iznosu 1.000,00 EUR u 2024. godini za usluge promidžbe i informiranja koji uključuju izradu promidžbenog materijala u cilju informiranja i vidljivosti projekta provedbe nacionalnih ispita. </w:t>
      </w:r>
    </w:p>
    <w:p w:rsidR="009520A9" w:rsidRDefault="00770482">
      <w:r>
        <w:t>U 2025. godini planirana su sredstva u izn</w:t>
      </w:r>
      <w:r>
        <w:t xml:space="preserve">osu 1.000,00 EUR te u 2026. godini u iznosu 1.000,00 EUR. </w:t>
      </w:r>
    </w:p>
    <w:p w:rsidR="009520A9" w:rsidRDefault="00770482">
      <w:r>
        <w:t xml:space="preserve"> </w:t>
      </w:r>
    </w:p>
    <w:p w:rsidR="009520A9" w:rsidRDefault="00770482">
      <w:r>
        <w:t>10.</w:t>
      </w:r>
      <w:r>
        <w:tab/>
        <w:t xml:space="preserve">Stručno usavršavanje zaposlenika </w:t>
      </w:r>
    </w:p>
    <w:p w:rsidR="009520A9" w:rsidRDefault="00770482">
      <w:r>
        <w:t>Za potrebe stručnog usavršavanja djelatnika Nacionalnog centra za vanjsko vrednovanje obrazovanja koji sudjeluju u organizaciji i provedbi nacionalnih ispita</w:t>
      </w:r>
      <w:r>
        <w:t xml:space="preserve"> i projektnih aktivnosti, u svrhu jačanja kapaciteta i uspostave sustava samovrednovanja planirana su sredstva u iznosu 8.000,00 EUR za 2024. godinu. </w:t>
      </w:r>
    </w:p>
    <w:p w:rsidR="009520A9" w:rsidRDefault="00770482">
      <w:r>
        <w:t>Za potrebe stručnog usavršavanja zaposlenika uključenih u provedbi nacionalnih ispita za 2025. godinu pla</w:t>
      </w:r>
      <w:r>
        <w:t xml:space="preserve">nirana su sredstva u iznosu 8.000,00 EUR, dok je za 2026. godinu planirano 8.000,00 EUR. </w:t>
      </w:r>
    </w:p>
    <w:p w:rsidR="009520A9" w:rsidRDefault="00770482">
      <w:r>
        <w:t xml:space="preserve"> </w:t>
      </w:r>
    </w:p>
    <w:p w:rsidR="009520A9" w:rsidRDefault="00770482">
      <w:r>
        <w:t>11.</w:t>
      </w:r>
      <w:r>
        <w:tab/>
        <w:t xml:space="preserve">Troškovi reprezentacije </w:t>
      </w:r>
    </w:p>
    <w:p w:rsidR="009520A9" w:rsidRDefault="00770482">
      <w:r>
        <w:t>Planirana sredstva za 2024. godinu u iznosu 1.000,00 EUR se odnose na troškove osiguranje pitke vode i kave nastavnicima, stručnim radn</w:t>
      </w:r>
      <w:r>
        <w:t xml:space="preserve">im skupinama, ocjenjivačima nacionalnih ispita i ostalim vanjskim suradnicima koji sudjeluju u pripremi i provedbi nacionalnih ispita.  </w:t>
      </w:r>
    </w:p>
    <w:p w:rsidR="009520A9" w:rsidRDefault="00770482">
      <w:r>
        <w:t>Procijenjeni trošak reprezentacije za 2025. godine iznosi 1.000,00 EUR te 1.000,00 EUR za 2026. godinu</w:t>
      </w:r>
    </w:p>
    <w:p w:rsidR="009520A9" w:rsidRDefault="00770482">
      <w:pPr>
        <w:pStyle w:val="Heading8"/>
        <w:jc w:val="left"/>
      </w:pPr>
      <w:r>
        <w:t>Pokazatelji rezu</w:t>
      </w:r>
      <w:r>
        <w:t>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sastavljenih ispita i ispitnih materijala za provedbu nacionalnih ispita za četvrti i osmi razred osnovnih škola</w:t>
            </w:r>
          </w:p>
        </w:tc>
        <w:tc>
          <w:tcPr>
            <w:tcW w:w="2245" w:type="dxa"/>
            <w:vAlign w:val="top"/>
          </w:tcPr>
          <w:p w:rsidR="009520A9" w:rsidRDefault="00770482">
            <w:pPr>
              <w:pStyle w:val="CellColumn"/>
              <w:jc w:val="left"/>
            </w:pPr>
            <w:r>
              <w:rPr>
                <w:rFonts w:cs="Times New Roman"/>
              </w:rPr>
              <w:t>Sastavljeni ispiti i ispitni materijali za sve predmete nacionalnih ispita</w:t>
            </w:r>
          </w:p>
        </w:tc>
        <w:tc>
          <w:tcPr>
            <w:tcW w:w="918" w:type="dxa"/>
          </w:tcPr>
          <w:p w:rsidR="009520A9" w:rsidRDefault="00770482">
            <w:pPr>
              <w:jc w:val="center"/>
            </w:pPr>
            <w:r>
              <w:t>Broj predmeta</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17</w:t>
            </w:r>
          </w:p>
        </w:tc>
        <w:tc>
          <w:tcPr>
            <w:tcW w:w="918" w:type="dxa"/>
          </w:tcPr>
          <w:p w:rsidR="009520A9" w:rsidRDefault="00770482">
            <w:pPr>
              <w:jc w:val="center"/>
            </w:pPr>
            <w:r>
              <w:t>17</w:t>
            </w:r>
          </w:p>
        </w:tc>
        <w:tc>
          <w:tcPr>
            <w:tcW w:w="918" w:type="dxa"/>
          </w:tcPr>
          <w:p w:rsidR="009520A9" w:rsidRDefault="00770482">
            <w:pPr>
              <w:jc w:val="center"/>
            </w:pPr>
            <w:r>
              <w:t>17</w:t>
            </w:r>
          </w:p>
        </w:tc>
      </w:tr>
      <w:tr w:rsidR="009520A9">
        <w:trPr>
          <w:jc w:val="center"/>
        </w:trPr>
        <w:tc>
          <w:tcPr>
            <w:tcW w:w="2245" w:type="dxa"/>
            <w:vAlign w:val="top"/>
          </w:tcPr>
          <w:p w:rsidR="009520A9" w:rsidRDefault="00770482">
            <w:pPr>
              <w:pStyle w:val="CellColumn"/>
              <w:jc w:val="left"/>
            </w:pPr>
            <w:r>
              <w:rPr>
                <w:rFonts w:cs="Times New Roman"/>
              </w:rPr>
              <w:t>Broj tiskanih, provedenih, obrađenih i ocijenjenih kompleta za sve predmete nacionalnih ispita za učenike četvrtog i osmog razreda osnovnih škola</w:t>
            </w:r>
          </w:p>
        </w:tc>
        <w:tc>
          <w:tcPr>
            <w:tcW w:w="2245" w:type="dxa"/>
            <w:vAlign w:val="top"/>
          </w:tcPr>
          <w:p w:rsidR="009520A9" w:rsidRDefault="00770482">
            <w:pPr>
              <w:pStyle w:val="CellColumn"/>
              <w:jc w:val="left"/>
            </w:pPr>
            <w:r>
              <w:rPr>
                <w:rFonts w:cs="Times New Roman"/>
              </w:rPr>
              <w:t>Tiskani ispitni kompleti nacionalnih ispita na temelju broja učenika četvrtog i osmog razreda osnovne škole ko</w:t>
            </w:r>
            <w:r>
              <w:rPr>
                <w:rFonts w:cs="Times New Roman"/>
              </w:rPr>
              <w:t>ji sudjeluju u provođenju nacionalnih ispita te provedeni, obrađeni i ocijenjeni nacionalni ispiti</w:t>
            </w:r>
          </w:p>
        </w:tc>
        <w:tc>
          <w:tcPr>
            <w:tcW w:w="918" w:type="dxa"/>
          </w:tcPr>
          <w:p w:rsidR="009520A9" w:rsidRDefault="00770482">
            <w:pPr>
              <w:jc w:val="center"/>
            </w:pPr>
            <w:r>
              <w:t>Broj kompleta ispita i ispitnih materijala</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562.000</w:t>
            </w:r>
          </w:p>
        </w:tc>
        <w:tc>
          <w:tcPr>
            <w:tcW w:w="918" w:type="dxa"/>
          </w:tcPr>
          <w:p w:rsidR="009520A9" w:rsidRDefault="00770482">
            <w:pPr>
              <w:jc w:val="center"/>
            </w:pPr>
            <w:r>
              <w:t>562.000</w:t>
            </w:r>
          </w:p>
        </w:tc>
        <w:tc>
          <w:tcPr>
            <w:tcW w:w="918" w:type="dxa"/>
          </w:tcPr>
          <w:p w:rsidR="009520A9" w:rsidRDefault="00770482">
            <w:pPr>
              <w:jc w:val="center"/>
            </w:pPr>
            <w:r>
              <w:t>562.000</w:t>
            </w:r>
          </w:p>
        </w:tc>
      </w:tr>
      <w:tr w:rsidR="009520A9">
        <w:trPr>
          <w:jc w:val="center"/>
        </w:trPr>
        <w:tc>
          <w:tcPr>
            <w:tcW w:w="2245" w:type="dxa"/>
            <w:vAlign w:val="top"/>
          </w:tcPr>
          <w:p w:rsidR="009520A9" w:rsidRDefault="00770482">
            <w:pPr>
              <w:pStyle w:val="CellColumn"/>
              <w:jc w:val="left"/>
            </w:pPr>
            <w:r>
              <w:rPr>
                <w:rFonts w:cs="Times New Roman"/>
              </w:rPr>
              <w:t>Broj osnovnih škola za učenike četvrtog  i osmog razreda osnovnih škola uključen</w:t>
            </w:r>
            <w:r>
              <w:rPr>
                <w:rFonts w:cs="Times New Roman"/>
              </w:rPr>
              <w:t>ih u provođenju nacionalnih ispita</w:t>
            </w:r>
          </w:p>
        </w:tc>
        <w:tc>
          <w:tcPr>
            <w:tcW w:w="2245" w:type="dxa"/>
            <w:vAlign w:val="top"/>
          </w:tcPr>
          <w:p w:rsidR="009520A9" w:rsidRDefault="00770482">
            <w:pPr>
              <w:pStyle w:val="CellColumn"/>
              <w:jc w:val="left"/>
            </w:pPr>
            <w:r>
              <w:rPr>
                <w:rFonts w:cs="Times New Roman"/>
              </w:rPr>
              <w:t>Osnovne škole u kojima se provode nacionalni ispiti i koje će dobiti povratne informacije o svojemu rezultatu</w:t>
            </w:r>
          </w:p>
        </w:tc>
        <w:tc>
          <w:tcPr>
            <w:tcW w:w="918" w:type="dxa"/>
          </w:tcPr>
          <w:p w:rsidR="009520A9" w:rsidRDefault="00770482">
            <w:pPr>
              <w:jc w:val="center"/>
            </w:pPr>
            <w:r>
              <w:t>Broj osnovnih škola</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926</w:t>
            </w:r>
          </w:p>
        </w:tc>
        <w:tc>
          <w:tcPr>
            <w:tcW w:w="918" w:type="dxa"/>
          </w:tcPr>
          <w:p w:rsidR="009520A9" w:rsidRDefault="00770482">
            <w:pPr>
              <w:jc w:val="center"/>
            </w:pPr>
            <w:r>
              <w:t>930</w:t>
            </w:r>
          </w:p>
        </w:tc>
        <w:tc>
          <w:tcPr>
            <w:tcW w:w="918" w:type="dxa"/>
          </w:tcPr>
          <w:p w:rsidR="009520A9" w:rsidRDefault="00770482">
            <w:pPr>
              <w:jc w:val="center"/>
            </w:pPr>
            <w:r>
              <w:t>930</w:t>
            </w:r>
          </w:p>
        </w:tc>
      </w:tr>
      <w:tr w:rsidR="009520A9">
        <w:trPr>
          <w:jc w:val="center"/>
        </w:trPr>
        <w:tc>
          <w:tcPr>
            <w:tcW w:w="2245" w:type="dxa"/>
            <w:vAlign w:val="top"/>
          </w:tcPr>
          <w:p w:rsidR="009520A9" w:rsidRDefault="00770482">
            <w:pPr>
              <w:pStyle w:val="CellColumn"/>
              <w:jc w:val="left"/>
            </w:pPr>
            <w:r>
              <w:rPr>
                <w:rFonts w:cs="Times New Roman"/>
              </w:rPr>
              <w:t>Broj educiranih učitelja koji sudjeluju u provedbi nacionalnih ispita</w:t>
            </w:r>
          </w:p>
        </w:tc>
        <w:tc>
          <w:tcPr>
            <w:tcW w:w="2245" w:type="dxa"/>
            <w:vAlign w:val="top"/>
          </w:tcPr>
          <w:p w:rsidR="009520A9" w:rsidRDefault="00770482">
            <w:pPr>
              <w:pStyle w:val="CellColumn"/>
              <w:jc w:val="left"/>
            </w:pPr>
            <w:r>
              <w:rPr>
                <w:rFonts w:cs="Times New Roman"/>
              </w:rPr>
              <w:t>Učitelji osnovnih škola koji sudjeluju u provođenju nacionalnih ispita za četvrti i osmi razred osnovnih škola kao članovi stručnih radnih skupina, ocjenjivači, recenzenti, prevoditelji, lektori, na prilagodbama ispitne tehnologije</w:t>
            </w:r>
          </w:p>
        </w:tc>
        <w:tc>
          <w:tcPr>
            <w:tcW w:w="918" w:type="dxa"/>
          </w:tcPr>
          <w:p w:rsidR="009520A9" w:rsidRDefault="00770482">
            <w:pPr>
              <w:jc w:val="center"/>
            </w:pPr>
            <w:r>
              <w:t>Broj učitelja</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1.300</w:t>
            </w:r>
          </w:p>
        </w:tc>
        <w:tc>
          <w:tcPr>
            <w:tcW w:w="918" w:type="dxa"/>
          </w:tcPr>
          <w:p w:rsidR="009520A9" w:rsidRDefault="00770482">
            <w:pPr>
              <w:jc w:val="center"/>
            </w:pPr>
            <w:r>
              <w:t>1.300</w:t>
            </w:r>
          </w:p>
        </w:tc>
        <w:tc>
          <w:tcPr>
            <w:tcW w:w="918" w:type="dxa"/>
          </w:tcPr>
          <w:p w:rsidR="009520A9" w:rsidRDefault="00770482">
            <w:pPr>
              <w:jc w:val="center"/>
            </w:pPr>
            <w:r>
              <w:t>1.300</w:t>
            </w:r>
          </w:p>
        </w:tc>
      </w:tr>
      <w:tr w:rsidR="009520A9">
        <w:trPr>
          <w:jc w:val="center"/>
        </w:trPr>
        <w:tc>
          <w:tcPr>
            <w:tcW w:w="2245" w:type="dxa"/>
            <w:vAlign w:val="top"/>
          </w:tcPr>
          <w:p w:rsidR="009520A9" w:rsidRDefault="00770482">
            <w:pPr>
              <w:pStyle w:val="CellColumn"/>
              <w:jc w:val="left"/>
            </w:pPr>
            <w:r>
              <w:rPr>
                <w:rFonts w:cs="Times New Roman"/>
              </w:rPr>
              <w:t>Broj djelatnika Nacionalnog centra koji sudjeluju u organizaciji i provedbi nacionalnih ispita</w:t>
            </w:r>
          </w:p>
        </w:tc>
        <w:tc>
          <w:tcPr>
            <w:tcW w:w="2245" w:type="dxa"/>
            <w:vAlign w:val="top"/>
          </w:tcPr>
          <w:p w:rsidR="009520A9" w:rsidRDefault="00770482">
            <w:pPr>
              <w:pStyle w:val="CellColumn"/>
              <w:jc w:val="left"/>
            </w:pPr>
            <w:r>
              <w:rPr>
                <w:rFonts w:cs="Times New Roman"/>
              </w:rPr>
              <w:t>Djelatnici Nacionalnog centra koji sudjeluju u organizaciji i provedbi nacionalnih ispita, koordinaciji rada stručnih radnih skupina i nastavnika</w:t>
            </w:r>
          </w:p>
        </w:tc>
        <w:tc>
          <w:tcPr>
            <w:tcW w:w="918" w:type="dxa"/>
          </w:tcPr>
          <w:p w:rsidR="009520A9" w:rsidRDefault="00770482">
            <w:pPr>
              <w:jc w:val="center"/>
            </w:pPr>
            <w:r>
              <w:t>Broj djelatnika Centra</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10</w:t>
            </w:r>
          </w:p>
        </w:tc>
        <w:tc>
          <w:tcPr>
            <w:tcW w:w="918" w:type="dxa"/>
          </w:tcPr>
          <w:p w:rsidR="009520A9" w:rsidRDefault="00770482">
            <w:pPr>
              <w:jc w:val="center"/>
            </w:pPr>
            <w:r>
              <w:t>12</w:t>
            </w:r>
          </w:p>
        </w:tc>
        <w:tc>
          <w:tcPr>
            <w:tcW w:w="918" w:type="dxa"/>
          </w:tcPr>
          <w:p w:rsidR="009520A9" w:rsidRDefault="00770482">
            <w:pPr>
              <w:jc w:val="center"/>
            </w:pPr>
            <w:r>
              <w:t>12</w:t>
            </w:r>
          </w:p>
        </w:tc>
      </w:tr>
      <w:tr w:rsidR="009520A9">
        <w:trPr>
          <w:jc w:val="center"/>
        </w:trPr>
        <w:tc>
          <w:tcPr>
            <w:tcW w:w="2245" w:type="dxa"/>
            <w:vAlign w:val="top"/>
          </w:tcPr>
          <w:p w:rsidR="009520A9" w:rsidRDefault="00770482">
            <w:pPr>
              <w:pStyle w:val="CellColumn"/>
              <w:jc w:val="left"/>
            </w:pPr>
            <w:r>
              <w:rPr>
                <w:rFonts w:cs="Times New Roman"/>
              </w:rPr>
              <w:t>Udio objavljenih rezultata provedbe nacionalnih ispita za učenike če</w:t>
            </w:r>
            <w:r>
              <w:rPr>
                <w:rFonts w:cs="Times New Roman"/>
              </w:rPr>
              <w:t>tvrtog i osmog razreda osnovne škole</w:t>
            </w:r>
          </w:p>
        </w:tc>
        <w:tc>
          <w:tcPr>
            <w:tcW w:w="2245" w:type="dxa"/>
            <w:vAlign w:val="top"/>
          </w:tcPr>
          <w:p w:rsidR="009520A9" w:rsidRDefault="00770482">
            <w:pPr>
              <w:pStyle w:val="CellColumn"/>
              <w:jc w:val="left"/>
            </w:pPr>
            <w:r>
              <w:rPr>
                <w:rFonts w:cs="Times New Roman"/>
              </w:rPr>
              <w:t>Dostavljeni rezultati ispita za sve učenike koji pristupaju nacionalnim ispitima</w:t>
            </w:r>
          </w:p>
        </w:tc>
        <w:tc>
          <w:tcPr>
            <w:tcW w:w="918" w:type="dxa"/>
          </w:tcPr>
          <w:p w:rsidR="009520A9" w:rsidRDefault="00770482">
            <w:pPr>
              <w:jc w:val="center"/>
            </w:pPr>
            <w:r>
              <w:t>Broj učenika</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43.700</w:t>
            </w:r>
          </w:p>
        </w:tc>
        <w:tc>
          <w:tcPr>
            <w:tcW w:w="918" w:type="dxa"/>
          </w:tcPr>
          <w:p w:rsidR="009520A9" w:rsidRDefault="00770482">
            <w:pPr>
              <w:jc w:val="center"/>
            </w:pPr>
            <w:r>
              <w:t>45.100</w:t>
            </w:r>
          </w:p>
        </w:tc>
        <w:tc>
          <w:tcPr>
            <w:tcW w:w="918" w:type="dxa"/>
          </w:tcPr>
          <w:p w:rsidR="009520A9" w:rsidRDefault="00770482">
            <w:pPr>
              <w:jc w:val="center"/>
            </w:pPr>
            <w:r>
              <w:t>44.000</w:t>
            </w:r>
          </w:p>
        </w:tc>
      </w:tr>
      <w:tr w:rsidR="009520A9">
        <w:trPr>
          <w:jc w:val="center"/>
        </w:trPr>
        <w:tc>
          <w:tcPr>
            <w:tcW w:w="2245" w:type="dxa"/>
            <w:vAlign w:val="top"/>
          </w:tcPr>
          <w:p w:rsidR="009520A9" w:rsidRDefault="00770482">
            <w:pPr>
              <w:pStyle w:val="CellColumn"/>
              <w:jc w:val="left"/>
            </w:pPr>
            <w:r>
              <w:rPr>
                <w:rFonts w:cs="Times New Roman"/>
              </w:rPr>
              <w:t>Ugovor za nabavu računalnog sustava za razvoj nacionalnih ispita i provedbu ispitivanja</w:t>
            </w:r>
          </w:p>
        </w:tc>
        <w:tc>
          <w:tcPr>
            <w:tcW w:w="2245" w:type="dxa"/>
            <w:vAlign w:val="top"/>
          </w:tcPr>
          <w:p w:rsidR="009520A9" w:rsidRDefault="00770482">
            <w:pPr>
              <w:pStyle w:val="CellColumn"/>
              <w:jc w:val="left"/>
            </w:pPr>
            <w:r>
              <w:rPr>
                <w:rFonts w:cs="Times New Roman"/>
              </w:rPr>
              <w:t>Provedba postupka i sklapanje ugovora kojim se nabavlja računalni sustav po modulima za razvoj nacionalnih ispita i provedbu ispitivanja radi unaprjeđenja razine sigurnosti pripreme nacionalnih ispita</w:t>
            </w:r>
          </w:p>
        </w:tc>
        <w:tc>
          <w:tcPr>
            <w:tcW w:w="918" w:type="dxa"/>
          </w:tcPr>
          <w:p w:rsidR="009520A9" w:rsidRDefault="00770482">
            <w:pPr>
              <w:jc w:val="center"/>
            </w:pPr>
            <w:r>
              <w:t>Broj ugovora</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Centar</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bl>
    <w:p w:rsidR="009520A9" w:rsidRDefault="009520A9">
      <w:pPr>
        <w:jc w:val="left"/>
      </w:pPr>
    </w:p>
    <w:p w:rsidR="009520A9" w:rsidRDefault="00770482">
      <w:pPr>
        <w:pStyle w:val="Heading2"/>
      </w:pPr>
      <w:r>
        <w:t>43335 Agencija za mobilno</w:t>
      </w:r>
      <w:r>
        <w:t>st i programe Europske unije</w:t>
      </w:r>
    </w:p>
    <w:p w:rsidR="009520A9" w:rsidRDefault="00770482">
      <w:r>
        <w:t>Agencija za mobilnost i programe EU osnovana je Zakonom o Agenciji (NN 121/17, 30/23) koji ujedno definira njezin opis poslova i nadležnosti. Osim Zakonom, djelatnost Agencije utvrđena je Uredbama i Odlukama Europske komisije i</w:t>
      </w:r>
      <w:r>
        <w:t xml:space="preserve"> Europskog parlamenta, Ugovorima s Europskom komisijom o provedbi programa, inicijativa, mreža i projekata te Odlukama Ministarstva znanosti i obrazovanja o prijenosu dodatnih nadležnosti i zadataka na Agenciju.  </w:t>
      </w:r>
    </w:p>
    <w:p w:rsidR="009520A9" w:rsidRDefault="00770482">
      <w:r>
        <w:t>Opis poslova i zadataka Agencije je sljede</w:t>
      </w:r>
      <w:r>
        <w:t xml:space="preserve">ći:  </w:t>
      </w:r>
    </w:p>
    <w:p w:rsidR="009520A9" w:rsidRDefault="00770482">
      <w:r>
        <w:t xml:space="preserve">- Provedba programa EU Erasmus+ u području obrazovanja, osposobljavanja, mladih i sporta za razdoblje 2014.-2020. u svojstvu akreditirane Nacionalne agencije  </w:t>
      </w:r>
    </w:p>
    <w:p w:rsidR="009520A9" w:rsidRDefault="00770482">
      <w:r>
        <w:t xml:space="preserve">- Provedba programa EU Obzor 2020. za istraživanje i inovacije za razdoblje 2014.-2020. u svojstvu nacionalne potporne strukture  </w:t>
      </w:r>
    </w:p>
    <w:p w:rsidR="009520A9" w:rsidRDefault="00770482">
      <w:r>
        <w:t>- Provedba programa EU Europske snage solidarnosti u području volontiranja i solidarnosti mladih za razdoblje 2018.-2020. u s</w:t>
      </w:r>
      <w:r>
        <w:t xml:space="preserve">vojstvu akreditirane Nacionalne agencije </w:t>
      </w:r>
    </w:p>
    <w:p w:rsidR="009520A9" w:rsidRDefault="00770482">
      <w:r>
        <w:t xml:space="preserve">- Provedba programa EU Erasmus+ u području obrazovanja, osposobljavanja, mladih i sporta za razdoblje 2021.-2027. u svojstvu akreditirane Nacionalne agencije </w:t>
      </w:r>
    </w:p>
    <w:p w:rsidR="009520A9" w:rsidRDefault="00770482">
      <w:r>
        <w:t>- Provedba programa EU Europske snage solidarnosti u po</w:t>
      </w:r>
      <w:r>
        <w:t xml:space="preserve">dručju volontiranja i solidarnosti mladih za razdoblje 2021.-2027. u svojstvu akreditirane Nacionalne agencije </w:t>
      </w:r>
    </w:p>
    <w:p w:rsidR="009520A9" w:rsidRDefault="00770482">
      <w:r>
        <w:t xml:space="preserve">- Provedba programa EU Obzor Europa u području znanosti za razdoblje 2021.-2027. u svojstvu nacionalne potporne strukture </w:t>
      </w:r>
    </w:p>
    <w:p w:rsidR="009520A9" w:rsidRDefault="00770482">
      <w:r>
        <w:t>- Ostale EU mreže i i</w:t>
      </w:r>
      <w:r>
        <w:t>nicijative, drugi međunarodni programi (EURAXESS, Euroguidance, Europass, eTwinning, Eurodesk, Eurydice, Radna skupina stručnjaka za VET, SALTO resursni centar za uključivanje i raznolikost u području obrazovanja, Study in Croatia, CEEPUS, Bilateralni prog</w:t>
      </w:r>
      <w:r>
        <w:t xml:space="preserve">ram akademske mobilnosti itd.) te provedba EU projekata financiranih sredstvima Okvirnih programa EU za istraživanje i inovacije i dr. </w:t>
      </w:r>
    </w:p>
    <w:p w:rsidR="009520A9" w:rsidRDefault="00770482">
      <w:r>
        <w:t>Navedeni opis poslova i zadataka ima za cilj internacionalizaciju sustava obrazovanja, osposobljavanja i znanosti te pod</w:t>
      </w:r>
      <w:r>
        <w:t>ručja mladih na način da se hrvatskim građanima, odgojno-obrazovnim ustanovama, organizacijama koje rade s mladima, visokim učilištima i znanstveno-istraživačkim ustanovama omogući sudjelovanje u aktivnostima međunarodne mobilnosti, učenja, suradnje i volo</w:t>
      </w:r>
      <w:r>
        <w:t>ntiranja.</w:t>
      </w:r>
    </w:p>
    <w:tbl>
      <w:tblPr>
        <w:tblStyle w:val="StilTablice"/>
        <w:tblW w:w="10206" w:type="dxa"/>
        <w:jc w:val="center"/>
        <w:tblLook w:val="04A0" w:firstRow="1" w:lastRow="0" w:firstColumn="1" w:lastColumn="0" w:noHBand="0" w:noVBand="1"/>
      </w:tblPr>
      <w:tblGrid>
        <w:gridCol w:w="1426"/>
        <w:gridCol w:w="1562"/>
        <w:gridCol w:w="1562"/>
        <w:gridCol w:w="1562"/>
        <w:gridCol w:w="1562"/>
        <w:gridCol w:w="1562"/>
        <w:gridCol w:w="970"/>
      </w:tblGrid>
      <w:tr w:rsidR="009520A9">
        <w:trPr>
          <w:jc w:val="center"/>
        </w:trPr>
        <w:tc>
          <w:tcPr>
            <w:tcW w:w="1530" w:type="dxa"/>
            <w:shd w:val="clear" w:color="auto" w:fill="B5C0D8"/>
          </w:tcPr>
          <w:p w:rsidR="009520A9" w:rsidRDefault="009520A9">
            <w:pPr>
              <w:pStyle w:val="CellHeader"/>
              <w:jc w:val="center"/>
            </w:pP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tcPr>
          <w:p w:rsidR="009520A9" w:rsidRDefault="00770482">
            <w:pPr>
              <w:pStyle w:val="CellColumn"/>
              <w:jc w:val="left"/>
            </w:pPr>
            <w:r>
              <w:rPr>
                <w:rFonts w:cs="Times New Roman"/>
              </w:rPr>
              <w:t>43335</w:t>
            </w:r>
          </w:p>
        </w:tc>
        <w:tc>
          <w:tcPr>
            <w:tcW w:w="1632" w:type="dxa"/>
          </w:tcPr>
          <w:p w:rsidR="009520A9" w:rsidRDefault="00770482">
            <w:pPr>
              <w:jc w:val="right"/>
            </w:pPr>
            <w:r>
              <w:t>37.625.742</w:t>
            </w:r>
          </w:p>
        </w:tc>
        <w:tc>
          <w:tcPr>
            <w:tcW w:w="1632" w:type="dxa"/>
          </w:tcPr>
          <w:p w:rsidR="009520A9" w:rsidRDefault="00770482">
            <w:pPr>
              <w:jc w:val="right"/>
            </w:pPr>
            <w:r>
              <w:t>51.985.209</w:t>
            </w:r>
          </w:p>
        </w:tc>
        <w:tc>
          <w:tcPr>
            <w:tcW w:w="1632" w:type="dxa"/>
          </w:tcPr>
          <w:p w:rsidR="009520A9" w:rsidRDefault="00770482">
            <w:pPr>
              <w:jc w:val="right"/>
            </w:pPr>
            <w:r>
              <w:t>53.857.828</w:t>
            </w:r>
          </w:p>
        </w:tc>
        <w:tc>
          <w:tcPr>
            <w:tcW w:w="1632" w:type="dxa"/>
          </w:tcPr>
          <w:p w:rsidR="009520A9" w:rsidRDefault="00770482">
            <w:pPr>
              <w:jc w:val="right"/>
            </w:pPr>
            <w:r>
              <w:t>54.648.045</w:t>
            </w:r>
          </w:p>
        </w:tc>
        <w:tc>
          <w:tcPr>
            <w:tcW w:w="1632" w:type="dxa"/>
          </w:tcPr>
          <w:p w:rsidR="009520A9" w:rsidRDefault="00770482">
            <w:pPr>
              <w:jc w:val="right"/>
            </w:pPr>
            <w:r>
              <w:t>54.639.171</w:t>
            </w:r>
          </w:p>
        </w:tc>
        <w:tc>
          <w:tcPr>
            <w:tcW w:w="510" w:type="dxa"/>
          </w:tcPr>
          <w:p w:rsidR="009520A9" w:rsidRDefault="00770482">
            <w:pPr>
              <w:jc w:val="right"/>
            </w:pPr>
            <w:r>
              <w:t>103,6</w:t>
            </w:r>
          </w:p>
        </w:tc>
      </w:tr>
    </w:tbl>
    <w:p w:rsidR="009520A9" w:rsidRDefault="009520A9">
      <w:pPr>
        <w:jc w:val="left"/>
      </w:pPr>
    </w:p>
    <w:p w:rsidR="009520A9" w:rsidRDefault="00770482">
      <w:pPr>
        <w:pStyle w:val="Heading3"/>
      </w:pPr>
      <w:r>
        <w:rPr>
          <w:rFonts w:cs="Times New Roman"/>
        </w:rPr>
        <w:t>3701 RAZVOJ ODGOJNO OBRAZOVNOG SUSTAVA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9520A9">
        <w:trPr>
          <w:jc w:val="center"/>
        </w:trPr>
        <w:tc>
          <w:tcPr>
            <w:tcW w:w="1530" w:type="dxa"/>
            <w:shd w:val="clear" w:color="auto" w:fill="B5C0D8"/>
          </w:tcPr>
          <w:p w:rsidR="009520A9" w:rsidRDefault="009520A9">
            <w:pPr>
              <w:pStyle w:val="CellHeader"/>
            </w:pPr>
          </w:p>
        </w:tc>
        <w:tc>
          <w:tcPr>
            <w:tcW w:w="1632" w:type="dxa"/>
            <w:shd w:val="clear" w:color="auto" w:fill="B5C0D8"/>
          </w:tcPr>
          <w:p w:rsidR="009520A9" w:rsidRDefault="00770482">
            <w:pPr>
              <w:pStyle w:val="CellHeader"/>
            </w:pPr>
            <w:r>
              <w:rPr>
                <w:rFonts w:cs="Times New Roman"/>
              </w:rPr>
              <w:t>Izvršenje 2022.</w:t>
            </w:r>
          </w:p>
        </w:tc>
        <w:tc>
          <w:tcPr>
            <w:tcW w:w="1632" w:type="dxa"/>
            <w:shd w:val="clear" w:color="auto" w:fill="B5C0D8"/>
          </w:tcPr>
          <w:p w:rsidR="009520A9" w:rsidRDefault="00770482">
            <w:pPr>
              <w:pStyle w:val="CellHeader"/>
            </w:pPr>
            <w:r>
              <w:rPr>
                <w:rFonts w:cs="Times New Roman"/>
              </w:rPr>
              <w:t>Plan 2023.</w:t>
            </w:r>
          </w:p>
        </w:tc>
        <w:tc>
          <w:tcPr>
            <w:tcW w:w="1632" w:type="dxa"/>
            <w:shd w:val="clear" w:color="auto" w:fill="B5C0D8"/>
          </w:tcPr>
          <w:p w:rsidR="009520A9" w:rsidRDefault="00770482">
            <w:pPr>
              <w:pStyle w:val="CellHeader"/>
            </w:pPr>
            <w:r>
              <w:rPr>
                <w:rFonts w:cs="Times New Roman"/>
              </w:rPr>
              <w:t>Plan 2024.</w:t>
            </w:r>
          </w:p>
        </w:tc>
        <w:tc>
          <w:tcPr>
            <w:tcW w:w="1632" w:type="dxa"/>
            <w:shd w:val="clear" w:color="auto" w:fill="B5C0D8"/>
          </w:tcPr>
          <w:p w:rsidR="009520A9" w:rsidRDefault="00770482">
            <w:pPr>
              <w:pStyle w:val="CellHeader"/>
            </w:pPr>
            <w:r>
              <w:rPr>
                <w:rFonts w:cs="Times New Roman"/>
              </w:rPr>
              <w:t>Plan 2025.</w:t>
            </w:r>
          </w:p>
        </w:tc>
        <w:tc>
          <w:tcPr>
            <w:tcW w:w="1632" w:type="dxa"/>
            <w:shd w:val="clear" w:color="auto" w:fill="B5C0D8"/>
          </w:tcPr>
          <w:p w:rsidR="009520A9" w:rsidRDefault="00770482">
            <w:pPr>
              <w:pStyle w:val="CellHead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3701</w:t>
            </w:r>
          </w:p>
        </w:tc>
        <w:tc>
          <w:tcPr>
            <w:tcW w:w="1632" w:type="dxa"/>
            <w:vAlign w:val="top"/>
          </w:tcPr>
          <w:p w:rsidR="009520A9" w:rsidRDefault="00770482">
            <w:pPr>
              <w:jc w:val="right"/>
            </w:pPr>
            <w:r>
              <w:t>37.625.742</w:t>
            </w:r>
          </w:p>
        </w:tc>
        <w:tc>
          <w:tcPr>
            <w:tcW w:w="1632" w:type="dxa"/>
            <w:vAlign w:val="top"/>
          </w:tcPr>
          <w:p w:rsidR="009520A9" w:rsidRDefault="00770482">
            <w:pPr>
              <w:jc w:val="right"/>
            </w:pPr>
            <w:r>
              <w:t>51.985.209</w:t>
            </w:r>
          </w:p>
        </w:tc>
        <w:tc>
          <w:tcPr>
            <w:tcW w:w="1632" w:type="dxa"/>
            <w:vAlign w:val="top"/>
          </w:tcPr>
          <w:p w:rsidR="009520A9" w:rsidRDefault="00770482">
            <w:pPr>
              <w:jc w:val="right"/>
            </w:pPr>
            <w:r>
              <w:t>53.857.828</w:t>
            </w:r>
          </w:p>
        </w:tc>
        <w:tc>
          <w:tcPr>
            <w:tcW w:w="1632" w:type="dxa"/>
            <w:vAlign w:val="top"/>
          </w:tcPr>
          <w:p w:rsidR="009520A9" w:rsidRDefault="00770482">
            <w:pPr>
              <w:jc w:val="right"/>
            </w:pPr>
            <w:r>
              <w:t>54.648.045</w:t>
            </w:r>
          </w:p>
        </w:tc>
        <w:tc>
          <w:tcPr>
            <w:tcW w:w="1632" w:type="dxa"/>
            <w:vAlign w:val="top"/>
          </w:tcPr>
          <w:p w:rsidR="009520A9" w:rsidRDefault="00770482">
            <w:pPr>
              <w:jc w:val="right"/>
            </w:pPr>
            <w:r>
              <w:t>54.639.171</w:t>
            </w:r>
          </w:p>
        </w:tc>
        <w:tc>
          <w:tcPr>
            <w:tcW w:w="510" w:type="dxa"/>
            <w:vAlign w:val="top"/>
          </w:tcPr>
          <w:p w:rsidR="009520A9" w:rsidRDefault="00770482">
            <w:pPr>
              <w:jc w:val="right"/>
            </w:pPr>
            <w:r>
              <w:t>103,6</w:t>
            </w:r>
          </w:p>
        </w:tc>
      </w:tr>
    </w:tbl>
    <w:p w:rsidR="009520A9" w:rsidRDefault="009520A9">
      <w:pPr>
        <w:jc w:val="left"/>
      </w:pPr>
    </w:p>
    <w:p w:rsidR="009520A9" w:rsidRDefault="00770482">
      <w:pPr>
        <w:pStyle w:val="Heading8"/>
        <w:jc w:val="left"/>
      </w:pPr>
      <w:r>
        <w:t>Cilj 1.  Kvalitetan sustav odgoja i obrazovanja</w:t>
      </w:r>
    </w:p>
    <w:p w:rsidR="009520A9" w:rsidRDefault="0077048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učinka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Internacionalizacija sustava obrazovanja, osposobljavanja i znanosti te područja mladih na način da se hrvatskim građanima, odgojno-obrazovnim ustanovama, organizacijama koje</w:t>
            </w:r>
            <w:r>
              <w:rPr>
                <w:rFonts w:cs="Times New Roman"/>
              </w:rPr>
              <w:t xml:space="preserve"> rade s mladima, visokim učilištima i znanstveno-istraživačkim ustanovama omogući sudjelovanje u aktivnostima međunarodne mobilnosti</w:t>
            </w:r>
          </w:p>
        </w:tc>
        <w:tc>
          <w:tcPr>
            <w:tcW w:w="2245" w:type="dxa"/>
            <w:vAlign w:val="top"/>
          </w:tcPr>
          <w:p w:rsidR="009520A9" w:rsidRDefault="00770482">
            <w:pPr>
              <w:pStyle w:val="CellColumn"/>
              <w:jc w:val="left"/>
            </w:pPr>
            <w:r>
              <w:rPr>
                <w:rFonts w:cs="Times New Roman"/>
              </w:rPr>
              <w:t>Mjeriti iz godine u godinu broj odgojno obrazovnih ustanova (vrtići, osnovne i srednje škole, ustanove za obrazovanje odras</w:t>
            </w:r>
            <w:r>
              <w:rPr>
                <w:rFonts w:cs="Times New Roman"/>
              </w:rPr>
              <w:t>lih, visoka učilišta) koje sudjeluju u ulozi partnera ili nositelja projekta u Erasmus+ programu.</w:t>
            </w:r>
          </w:p>
        </w:tc>
        <w:tc>
          <w:tcPr>
            <w:tcW w:w="918" w:type="dxa"/>
          </w:tcPr>
          <w:p w:rsidR="009520A9" w:rsidRDefault="00770482">
            <w:pPr>
              <w:jc w:val="center"/>
            </w:pPr>
            <w:r>
              <w:t>broj</w:t>
            </w:r>
          </w:p>
        </w:tc>
        <w:tc>
          <w:tcPr>
            <w:tcW w:w="918" w:type="dxa"/>
          </w:tcPr>
          <w:p w:rsidR="009520A9" w:rsidRDefault="00770482">
            <w:pPr>
              <w:jc w:val="center"/>
            </w:pPr>
            <w:r>
              <w:t>229</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312</w:t>
            </w:r>
          </w:p>
        </w:tc>
        <w:tc>
          <w:tcPr>
            <w:tcW w:w="918" w:type="dxa"/>
          </w:tcPr>
          <w:p w:rsidR="009520A9" w:rsidRDefault="00770482">
            <w:pPr>
              <w:jc w:val="center"/>
            </w:pPr>
            <w:r>
              <w:t>322</w:t>
            </w:r>
          </w:p>
        </w:tc>
        <w:tc>
          <w:tcPr>
            <w:tcW w:w="918" w:type="dxa"/>
          </w:tcPr>
          <w:p w:rsidR="009520A9" w:rsidRDefault="00770482">
            <w:pPr>
              <w:jc w:val="center"/>
            </w:pPr>
            <w:r>
              <w:t>332</w:t>
            </w:r>
          </w:p>
        </w:tc>
      </w:tr>
    </w:tbl>
    <w:p w:rsidR="009520A9" w:rsidRDefault="009520A9">
      <w:pPr>
        <w:jc w:val="left"/>
      </w:pPr>
    </w:p>
    <w:p w:rsidR="009520A9" w:rsidRDefault="00770482">
      <w:pPr>
        <w:pStyle w:val="Heading4"/>
      </w:pPr>
      <w:r>
        <w:t>A589088 ADMINISTRACIJA I UPRAVLJANJE AGENCIJE ZA MOBILNOST I EU PROGRAME</w:t>
      </w:r>
    </w:p>
    <w:p w:rsidR="009520A9" w:rsidRDefault="00770482">
      <w:pPr>
        <w:pStyle w:val="Heading8"/>
        <w:jc w:val="left"/>
      </w:pPr>
      <w:r>
        <w:t>Zakonske i druge pravne osnove</w:t>
      </w:r>
    </w:p>
    <w:p w:rsidR="009520A9" w:rsidRDefault="00770482">
      <w:r>
        <w:t>Zakon o Agenciji za mobilnost i programe EU</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A589088</w:t>
            </w:r>
          </w:p>
        </w:tc>
        <w:tc>
          <w:tcPr>
            <w:tcW w:w="1632" w:type="dxa"/>
            <w:vAlign w:val="top"/>
          </w:tcPr>
          <w:p w:rsidR="009520A9" w:rsidRDefault="00770482">
            <w:pPr>
              <w:jc w:val="right"/>
            </w:pPr>
            <w:r>
              <w:t>335.826</w:t>
            </w:r>
          </w:p>
        </w:tc>
        <w:tc>
          <w:tcPr>
            <w:tcW w:w="1632" w:type="dxa"/>
            <w:vAlign w:val="top"/>
          </w:tcPr>
          <w:p w:rsidR="009520A9" w:rsidRDefault="00770482">
            <w:pPr>
              <w:jc w:val="right"/>
            </w:pPr>
            <w:r>
              <w:t>384.701</w:t>
            </w:r>
          </w:p>
        </w:tc>
        <w:tc>
          <w:tcPr>
            <w:tcW w:w="1632" w:type="dxa"/>
            <w:vAlign w:val="top"/>
          </w:tcPr>
          <w:p w:rsidR="009520A9" w:rsidRDefault="00770482">
            <w:pPr>
              <w:jc w:val="right"/>
            </w:pPr>
            <w:r>
              <w:t>1.112.949</w:t>
            </w:r>
          </w:p>
        </w:tc>
        <w:tc>
          <w:tcPr>
            <w:tcW w:w="1632" w:type="dxa"/>
            <w:vAlign w:val="top"/>
          </w:tcPr>
          <w:p w:rsidR="009520A9" w:rsidRDefault="00770482">
            <w:pPr>
              <w:jc w:val="right"/>
            </w:pPr>
            <w:r>
              <w:t>1.114.971</w:t>
            </w:r>
          </w:p>
        </w:tc>
        <w:tc>
          <w:tcPr>
            <w:tcW w:w="1632" w:type="dxa"/>
            <w:vAlign w:val="top"/>
          </w:tcPr>
          <w:p w:rsidR="009520A9" w:rsidRDefault="00770482">
            <w:pPr>
              <w:jc w:val="right"/>
            </w:pPr>
            <w:r>
              <w:t>1.115.334</w:t>
            </w:r>
          </w:p>
        </w:tc>
        <w:tc>
          <w:tcPr>
            <w:tcW w:w="510" w:type="dxa"/>
            <w:vAlign w:val="top"/>
          </w:tcPr>
          <w:p w:rsidR="009520A9" w:rsidRDefault="00770482">
            <w:pPr>
              <w:jc w:val="right"/>
            </w:pPr>
            <w:r>
              <w:t>289,3</w:t>
            </w:r>
          </w:p>
        </w:tc>
      </w:tr>
    </w:tbl>
    <w:p w:rsidR="009520A9" w:rsidRDefault="009520A9">
      <w:pPr>
        <w:jc w:val="left"/>
      </w:pPr>
    </w:p>
    <w:p w:rsidR="009520A9" w:rsidRDefault="00770482">
      <w:r>
        <w:t xml:space="preserve">Ova aktivnost provodi se svake godine. </w:t>
      </w:r>
    </w:p>
    <w:p w:rsidR="009520A9" w:rsidRDefault="00770482">
      <w:r>
        <w:t>U razdoblju 2024. – 2026. očekuje se ostvarenje sljedećeg: uspješna provedba svih EU i međunarodnih programa, mreža i projekata u nadležnosti Agencije sukladno programskim pravilima, dostupnim sredstvima te poslovanje Agencije sukladno pozitivnim propisima</w:t>
      </w:r>
      <w:r>
        <w:t xml:space="preserve">. </w:t>
      </w:r>
    </w:p>
    <w:p w:rsidR="009520A9" w:rsidRDefault="00770482">
      <w:r>
        <w:t xml:space="preserve">Ova aktivnost sastoji se od sljedećih elemenata: </w:t>
      </w:r>
    </w:p>
    <w:p w:rsidR="009520A9" w:rsidRDefault="00770482">
      <w:r>
        <w:t>1.</w:t>
      </w:r>
      <w:r>
        <w:tab/>
        <w:t xml:space="preserve">Rashodi za zaposlene </w:t>
      </w:r>
    </w:p>
    <w:p w:rsidR="009520A9" w:rsidRDefault="00770482">
      <w:r>
        <w:t>2.</w:t>
      </w:r>
      <w:r>
        <w:tab/>
        <w:t xml:space="preserve">Materijalni rashodi poslovanja Agencije </w:t>
      </w:r>
    </w:p>
    <w:p w:rsidR="009520A9" w:rsidRDefault="00770482">
      <w:r>
        <w:t>3.</w:t>
      </w:r>
      <w:r>
        <w:tab/>
        <w:t xml:space="preserve">Rashodi za nabavu nefinancijske imovine </w:t>
      </w:r>
    </w:p>
    <w:p w:rsidR="009520A9" w:rsidRDefault="00770482">
      <w:r>
        <w:t xml:space="preserve"> </w:t>
      </w:r>
    </w:p>
    <w:p w:rsidR="009520A9" w:rsidRDefault="00770482">
      <w:r>
        <w:t xml:space="preserve">Izračun financijskog plana: </w:t>
      </w:r>
    </w:p>
    <w:p w:rsidR="009520A9" w:rsidRDefault="00770482">
      <w:r>
        <w:t>Plan proračuna za 2024. godinu znatno je povećan u odnosu n</w:t>
      </w:r>
      <w:r>
        <w:t xml:space="preserve">a 2023. godinu na stavkama rashoda za zaposlene i na stavkama materijalnih rashoda.  </w:t>
      </w:r>
    </w:p>
    <w:p w:rsidR="009520A9" w:rsidRDefault="00770482">
      <w:r>
        <w:t>Redovna djelatnost Agencije u okviru koje se financiraju plaće manjeg dijela radnika u iznosu od 646.249 EUR, te dio troškova općeg poslovanja Agencije (najam poslovnog p</w:t>
      </w:r>
      <w:r>
        <w:t>rostora u iznosu 150.000 EUR godišnje, dio troškova energije koja godišnje iznosi 20.000 EUR, te dio troškova za računalne usluge koja godišnje iznose 130.000 EUR zbog digitalizacije velikog broja programa i aplikacija u svrhu prelaska na digitalno poslova</w:t>
      </w:r>
      <w:r>
        <w:t>nje.)</w:t>
      </w:r>
    </w:p>
    <w:p w:rsidR="009520A9" w:rsidRDefault="00770482">
      <w:pPr>
        <w:pStyle w:val="Heading4"/>
      </w:pPr>
      <w:r>
        <w:t>A589091 PROVEDBA MREŽNIH PROJEKATA FINANCIRANIH IZ OKVIRNIH PROGRAMA EU-A</w:t>
      </w:r>
    </w:p>
    <w:p w:rsidR="009520A9" w:rsidRDefault="00770482">
      <w:pPr>
        <w:pStyle w:val="Heading8"/>
        <w:jc w:val="left"/>
      </w:pPr>
      <w:r>
        <w:t>Zakonske i druge pravne osnove</w:t>
      </w:r>
    </w:p>
    <w:p w:rsidR="009520A9" w:rsidRDefault="00770482">
      <w:r>
        <w:t>Zakon o Agenciji za mobilnost i programe EU, Uredba (EU) 2021/695 Europskog parlamenta i Vijeća od 28. travnja 2021. o uspostavi Okvirnog program</w:t>
      </w:r>
      <w:r>
        <w:t>a za istraživanja i inovacije Obzor Europa, o utvrđivanju pravila za sudjelovanje i širenje rezultata te o stavljanju izvan snage uredbi (EU) br. 1290/2013 i (EU) br. 1291/2013; Odluka Ministarstva znanosti i obrazovanja o imenovanju nacionalnih osoba za k</w:t>
      </w:r>
      <w:r>
        <w:t>ontakt za program EU Obzor Europa.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A589091</w:t>
            </w:r>
          </w:p>
        </w:tc>
        <w:tc>
          <w:tcPr>
            <w:tcW w:w="1632" w:type="dxa"/>
            <w:vAlign w:val="top"/>
          </w:tcPr>
          <w:p w:rsidR="009520A9" w:rsidRDefault="00770482">
            <w:pPr>
              <w:jc w:val="right"/>
            </w:pPr>
            <w:r>
              <w:t>71.821</w:t>
            </w:r>
          </w:p>
        </w:tc>
        <w:tc>
          <w:tcPr>
            <w:tcW w:w="1632" w:type="dxa"/>
            <w:vAlign w:val="top"/>
          </w:tcPr>
          <w:p w:rsidR="009520A9" w:rsidRDefault="00770482">
            <w:pPr>
              <w:jc w:val="right"/>
            </w:pPr>
            <w:r>
              <w:t>193.498</w:t>
            </w:r>
          </w:p>
        </w:tc>
        <w:tc>
          <w:tcPr>
            <w:tcW w:w="1632" w:type="dxa"/>
            <w:vAlign w:val="top"/>
          </w:tcPr>
          <w:p w:rsidR="009520A9" w:rsidRDefault="00770482">
            <w:pPr>
              <w:jc w:val="right"/>
            </w:pPr>
            <w:r>
              <w:t>202.761</w:t>
            </w:r>
          </w:p>
        </w:tc>
        <w:tc>
          <w:tcPr>
            <w:tcW w:w="1632" w:type="dxa"/>
            <w:vAlign w:val="top"/>
          </w:tcPr>
          <w:p w:rsidR="009520A9" w:rsidRDefault="00770482">
            <w:pPr>
              <w:jc w:val="right"/>
            </w:pPr>
            <w:r>
              <w:t>212.900</w:t>
            </w:r>
          </w:p>
        </w:tc>
        <w:tc>
          <w:tcPr>
            <w:tcW w:w="1632" w:type="dxa"/>
            <w:vAlign w:val="top"/>
          </w:tcPr>
          <w:p w:rsidR="009520A9" w:rsidRDefault="00770482">
            <w:pPr>
              <w:jc w:val="right"/>
            </w:pPr>
            <w:r>
              <w:t>223.544</w:t>
            </w:r>
          </w:p>
        </w:tc>
        <w:tc>
          <w:tcPr>
            <w:tcW w:w="510" w:type="dxa"/>
            <w:vAlign w:val="top"/>
          </w:tcPr>
          <w:p w:rsidR="009520A9" w:rsidRDefault="00770482">
            <w:pPr>
              <w:jc w:val="right"/>
            </w:pPr>
            <w:r>
              <w:t>104,8</w:t>
            </w:r>
          </w:p>
        </w:tc>
      </w:tr>
    </w:tbl>
    <w:p w:rsidR="009520A9" w:rsidRDefault="009520A9">
      <w:pPr>
        <w:jc w:val="left"/>
      </w:pPr>
    </w:p>
    <w:p w:rsidR="009520A9" w:rsidRDefault="00770482">
      <w:r>
        <w:t xml:space="preserve">U razdoblju 2024. – 2026. očekuje se ostvarenje sljedećeg: </w:t>
      </w:r>
    </w:p>
    <w:p w:rsidR="009520A9" w:rsidRDefault="00770482">
      <w:r>
        <w:t>Aktivnost obuhvaća sljedeće aktivne EU projekte: MSCA-NET, NCP4HE, ERA Talent i -NCP_WIDERA.NET Tijekom 2024. godine očekuje se ugovaranje novog mrežnog projekta Obzor Europa pod nazivom Bridge2HE i novog EURAXESS projekta ERA Talent. Mrežni Obzor Europa i</w:t>
      </w:r>
      <w:r>
        <w:t xml:space="preserve"> Euraxess projekti su višegodišnji i Agencija je partner sa određenim zadacima i aktivnostima unutar konzorcija u funkciji voditelja radnog paketa odnosno voditelja zadatka. Proračun po projektima određuje se na razini konzorcija po godini provedbe te je n</w:t>
      </w:r>
      <w:r>
        <w:t xml:space="preserve">a taj način iskazan u prijedlogu financijskog plana.  </w:t>
      </w:r>
    </w:p>
    <w:p w:rsidR="009520A9" w:rsidRDefault="00770482">
      <w:r>
        <w:t xml:space="preserve">Ova aktivnost sastoji se od sljedećih elemenata: </w:t>
      </w:r>
    </w:p>
    <w:p w:rsidR="009520A9" w:rsidRDefault="00770482">
      <w:r>
        <w:t>1.</w:t>
      </w:r>
      <w:r>
        <w:tab/>
        <w:t xml:space="preserve">Rashodi za zaposlene </w:t>
      </w:r>
    </w:p>
    <w:p w:rsidR="009520A9" w:rsidRDefault="00770482">
      <w:r>
        <w:t>2.</w:t>
      </w:r>
      <w:r>
        <w:tab/>
        <w:t xml:space="preserve">Materijalni rashodi provedbe projekata </w:t>
      </w:r>
    </w:p>
    <w:p w:rsidR="009520A9" w:rsidRDefault="00770482">
      <w:r>
        <w:t xml:space="preserve">Izračun financijskog plana: </w:t>
      </w:r>
    </w:p>
    <w:p w:rsidR="009520A9" w:rsidRDefault="00770482">
      <w:r>
        <w:t>Plan za 2024. godinu u manjoj je mjeri uvećan na stavc</w:t>
      </w:r>
      <w:r>
        <w:t xml:space="preserve">i plaće u odnosu na tekući plan iz 2023. godine. U 2024. godini planirana su sredstva za sufinanciranje redovnog rada radnika u iznosu od 102.261 EUR.  </w:t>
      </w:r>
    </w:p>
    <w:p w:rsidR="009520A9" w:rsidRDefault="00770482">
      <w:r>
        <w:t>Službena putovanja u svrhu odlazaka na radne sastanke s partnerima na projektima (NCP4HE ERA Talent, NC</w:t>
      </w:r>
      <w:r>
        <w:t xml:space="preserve">P_WIDERA.NET i MSCA-NET) planirana su u iznosu od 50.000 EUR. </w:t>
      </w:r>
    </w:p>
    <w:p w:rsidR="009520A9" w:rsidRDefault="00770482">
      <w:r>
        <w:t xml:space="preserve">Intelektualne usluge: na projektu NCP_WIDERA.NET planirani troškovi trenera iznose ukupno 3.318 EUR.  </w:t>
      </w:r>
    </w:p>
    <w:p w:rsidR="009520A9" w:rsidRDefault="00770482">
      <w:r>
        <w:t xml:space="preserve">Planirani su troškovi najma prostora u iznosu 2.024 EUR za ERA Talent. Usluge promidžbe i </w:t>
      </w:r>
      <w:r>
        <w:t>informiranja za NCP_WIDERA.NET, MSCA-NET, ERA Talent i HE4NCP u iznosu 15.263 EUR. Troškovi reprezentacije na projektu ERA Talent i NCP_WIDERA.NET planirani su u visini 9.500 EUR, a naknade troškova osobama izvan radnog odnosa u iznosu od 7.963 EUR na proj</w:t>
      </w:r>
      <w:r>
        <w:t xml:space="preserve">ektu NCP_WIDERA.NET za angažman vanjskih stručnjaka. </w:t>
      </w:r>
    </w:p>
    <w:p w:rsidR="009520A9" w:rsidRDefault="00770482">
      <w:r>
        <w:t>Planirani su i ostali troškovi u iznosu od 12.436 EUR potrebni za kontinuirano provođenje i koordinaciju aktivnosti.</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w:t>
            </w:r>
            <w:r>
              <w:rPr>
                <w:rFonts w:cs="Times New Roman"/>
              </w:rPr>
              <w:t>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sudjelovanja na projektnim sastancima</w:t>
            </w:r>
          </w:p>
        </w:tc>
        <w:tc>
          <w:tcPr>
            <w:tcW w:w="2245" w:type="dxa"/>
            <w:vAlign w:val="top"/>
          </w:tcPr>
          <w:p w:rsidR="009520A9" w:rsidRDefault="00770482">
            <w:pPr>
              <w:pStyle w:val="CellColumn"/>
              <w:jc w:val="left"/>
            </w:pPr>
            <w:r>
              <w:rPr>
                <w:rFonts w:cs="Times New Roman"/>
              </w:rPr>
              <w:t>Nacionalne kontakt osobe sudjeluju na projektnim sastancima sukladno dinamici definiranoj u svakom zasebnom Ugovoru o dodjeli bespovratnih sredstava.</w:t>
            </w:r>
          </w:p>
        </w:tc>
        <w:tc>
          <w:tcPr>
            <w:tcW w:w="918" w:type="dxa"/>
          </w:tcPr>
          <w:p w:rsidR="009520A9" w:rsidRDefault="00770482">
            <w:pPr>
              <w:jc w:val="center"/>
            </w:pPr>
            <w:r>
              <w:t>Broj</w:t>
            </w:r>
          </w:p>
        </w:tc>
        <w:tc>
          <w:tcPr>
            <w:tcW w:w="918" w:type="dxa"/>
          </w:tcPr>
          <w:p w:rsidR="009520A9" w:rsidRDefault="00770482">
            <w:pPr>
              <w:jc w:val="center"/>
            </w:pPr>
            <w:r>
              <w:t>20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20</w:t>
            </w:r>
          </w:p>
        </w:tc>
        <w:tc>
          <w:tcPr>
            <w:tcW w:w="918" w:type="dxa"/>
          </w:tcPr>
          <w:p w:rsidR="009520A9" w:rsidRDefault="00770482">
            <w:pPr>
              <w:jc w:val="center"/>
            </w:pPr>
            <w:r>
              <w:t>20</w:t>
            </w:r>
          </w:p>
        </w:tc>
        <w:tc>
          <w:tcPr>
            <w:tcW w:w="918" w:type="dxa"/>
          </w:tcPr>
          <w:p w:rsidR="009520A9" w:rsidRDefault="00770482">
            <w:pPr>
              <w:jc w:val="center"/>
            </w:pPr>
            <w:r>
              <w:t>20</w:t>
            </w:r>
          </w:p>
        </w:tc>
      </w:tr>
    </w:tbl>
    <w:p w:rsidR="009520A9" w:rsidRDefault="009520A9">
      <w:pPr>
        <w:jc w:val="left"/>
      </w:pPr>
    </w:p>
    <w:p w:rsidR="009520A9" w:rsidRDefault="00770482">
      <w:pPr>
        <w:pStyle w:val="Heading4"/>
      </w:pPr>
      <w:r>
        <w:t>A818023 PROVEDBA EURODESK MREŽE</w:t>
      </w:r>
    </w:p>
    <w:p w:rsidR="009520A9" w:rsidRDefault="00770482">
      <w:pPr>
        <w:pStyle w:val="Heading8"/>
        <w:jc w:val="left"/>
      </w:pPr>
      <w:r>
        <w:t>Zakonske i druge pravne osnove</w:t>
      </w:r>
    </w:p>
    <w:p w:rsidR="009520A9" w:rsidRDefault="00770482">
      <w:r>
        <w:t>Zakon o Agenciji za mobilnost i programe EU, Ugovori s Europskom komisijom o provedbi Eurodesk mreže, Uredba (EU) 2021/817 Europskog parlamenta i Vijeća od 20. svibnja 2021. o uspostavi programa Unije za obrazovanje i osposobljavanje, mlade i sport Erasmus</w:t>
      </w:r>
      <w:r>
        <w:t>+ te o stavljanju izvan snage Uredbe (EU) br. 1288/2013.</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A818023</w:t>
            </w:r>
          </w:p>
        </w:tc>
        <w:tc>
          <w:tcPr>
            <w:tcW w:w="1632" w:type="dxa"/>
            <w:vAlign w:val="top"/>
          </w:tcPr>
          <w:p w:rsidR="009520A9" w:rsidRDefault="00770482">
            <w:pPr>
              <w:jc w:val="right"/>
            </w:pPr>
            <w:r>
              <w:t>35.685</w:t>
            </w:r>
          </w:p>
        </w:tc>
        <w:tc>
          <w:tcPr>
            <w:tcW w:w="1632" w:type="dxa"/>
            <w:vAlign w:val="top"/>
          </w:tcPr>
          <w:p w:rsidR="009520A9" w:rsidRDefault="00770482">
            <w:pPr>
              <w:jc w:val="right"/>
            </w:pPr>
            <w:r>
              <w:t>62.882</w:t>
            </w:r>
          </w:p>
        </w:tc>
        <w:tc>
          <w:tcPr>
            <w:tcW w:w="1632" w:type="dxa"/>
            <w:vAlign w:val="top"/>
          </w:tcPr>
          <w:p w:rsidR="009520A9" w:rsidRDefault="00770482">
            <w:pPr>
              <w:jc w:val="right"/>
            </w:pPr>
            <w:r>
              <w:t>63.333</w:t>
            </w:r>
          </w:p>
        </w:tc>
        <w:tc>
          <w:tcPr>
            <w:tcW w:w="1632" w:type="dxa"/>
            <w:vAlign w:val="top"/>
          </w:tcPr>
          <w:p w:rsidR="009520A9" w:rsidRDefault="00770482">
            <w:pPr>
              <w:jc w:val="right"/>
            </w:pPr>
            <w:r>
              <w:t>66.499</w:t>
            </w:r>
          </w:p>
        </w:tc>
        <w:tc>
          <w:tcPr>
            <w:tcW w:w="1632" w:type="dxa"/>
            <w:vAlign w:val="top"/>
          </w:tcPr>
          <w:p w:rsidR="009520A9" w:rsidRDefault="00770482">
            <w:pPr>
              <w:jc w:val="right"/>
            </w:pPr>
            <w:r>
              <w:t>69.584</w:t>
            </w:r>
          </w:p>
        </w:tc>
        <w:tc>
          <w:tcPr>
            <w:tcW w:w="510" w:type="dxa"/>
            <w:vAlign w:val="top"/>
          </w:tcPr>
          <w:p w:rsidR="009520A9" w:rsidRDefault="00770482">
            <w:pPr>
              <w:jc w:val="right"/>
            </w:pPr>
            <w:r>
              <w:t>100,7</w:t>
            </w:r>
          </w:p>
        </w:tc>
      </w:tr>
    </w:tbl>
    <w:p w:rsidR="009520A9" w:rsidRDefault="009520A9">
      <w:pPr>
        <w:jc w:val="left"/>
      </w:pPr>
    </w:p>
    <w:p w:rsidR="009520A9" w:rsidRDefault="00770482">
      <w:r>
        <w:t xml:space="preserve">U razdoblju 2024. – 2026. očekuje se ostvarenje sljedećeg: </w:t>
      </w:r>
    </w:p>
    <w:p w:rsidR="009520A9" w:rsidRDefault="00770482">
      <w:r>
        <w:t>Eurodesk je besplatni info-servis Europske komisije kojemu je svrha pružiti mladima i svima koji rade s mladima kvalitetne informacije o europskim programima i politikama za mlade, s ciljem promic</w:t>
      </w:r>
      <w:r>
        <w:t>anja mobilnosti u svrhu učenja i usavršavanja. Eurodesk mrežu čine nacionalni centri iz 37 europskih zemalja i preko 3000 lokalnih i regionalnih partnera – multiplikatora. Temelj poslovanja mreže Eurodesk multiplikatora je organizacija i provedba informati</w:t>
      </w:r>
      <w:r>
        <w:t xml:space="preserve">vnih aktivnosti za mlade te diseminacija informacija o europskim mogućnostima i politikama za mlade. Na taj način Eurodesk multiplikatori vrše ulogu kontakt točke programa Erasmus+ i Europske snage solidarnosti u području mladih, a za sve navedene poslove </w:t>
      </w:r>
      <w:r>
        <w:t>multiplikatora Agencija za mobilnost i programe EU vrši stručno osposobljavanje. Za 16 predstavnika organizacija multiplikatora Agencija organizira redovito osposobljavanje u Hrvatskoj u skladu s modulima Qualifying Training Programme koje je razvio Eurode</w:t>
      </w:r>
      <w:r>
        <w:t xml:space="preserve">sk Brussels Link (središnji Eurodeskov ured u Briselu).  </w:t>
      </w:r>
    </w:p>
    <w:p w:rsidR="009520A9" w:rsidRDefault="00770482">
      <w:r>
        <w:t xml:space="preserve">Ova aktivnost sastoji se od sljedećih elemenata: </w:t>
      </w:r>
    </w:p>
    <w:p w:rsidR="009520A9" w:rsidRDefault="00770482">
      <w:r>
        <w:t>1.</w:t>
      </w:r>
      <w:r>
        <w:tab/>
        <w:t xml:space="preserve">Rashodi za zaposlene </w:t>
      </w:r>
    </w:p>
    <w:p w:rsidR="009520A9" w:rsidRDefault="00770482">
      <w:r>
        <w:t>2.</w:t>
      </w:r>
      <w:r>
        <w:tab/>
        <w:t xml:space="preserve">Materijalni rashodi provedbe Eurodesk programa </w:t>
      </w:r>
    </w:p>
    <w:p w:rsidR="009520A9" w:rsidRDefault="00770482">
      <w:r>
        <w:t xml:space="preserve">Izračun financijskog plana: </w:t>
      </w:r>
    </w:p>
    <w:p w:rsidR="009520A9" w:rsidRDefault="00770482">
      <w:r>
        <w:t>Putem ugovora između EK i Agencije i godišn</w:t>
      </w:r>
      <w:r>
        <w:t>jeg plana koji Agencija podnosi EK predviđeno je pet radnih paketa, odnosno proračunskih kategorija: 1) mreža multiplikatora, informiranje i osposobljavanje multiplikatora (seminari, osposobljavanja, digitalne aktivnosti, sastanci, publikacije); 2) informa</w:t>
      </w:r>
      <w:r>
        <w:t xml:space="preserve">tivni i promotivni materijali i komunikacijski kanali; 3) mrežne aktivnosti i osiguranje kvalitete pružanja usluga; 4) informativne aktivnosti usmjerene na mlade osobe i 5) koordinacija i praćenje. U 2024. godini, a isto tako i u narednim godinama 2025. i </w:t>
      </w:r>
      <w:r>
        <w:t xml:space="preserve">2026., na izvoru 12 planirana su sredstva za redovan rad 3 djelatnika (u različitim postocima) u iznosu od 4.576 EUR.  </w:t>
      </w:r>
    </w:p>
    <w:p w:rsidR="009520A9" w:rsidRDefault="00770482">
      <w:r>
        <w:t>Sredstva sa izvora 51 za 2024. godinu zadržana su na razini tekućeg financijskog plana za 2023. godinu. Za 2025. i 2026. godinu planiran</w:t>
      </w:r>
      <w:r>
        <w:t xml:space="preserve">o je povećanje sredstava od 5% na svim stavkama izvora 51. </w:t>
      </w:r>
    </w:p>
    <w:p w:rsidR="009520A9" w:rsidRDefault="00770482">
      <w:r>
        <w:t xml:space="preserve">Za stručno usavršavanje i jačanje kapaciteta djelatnika predviđeno je 1.650 EUR.  </w:t>
      </w:r>
    </w:p>
    <w:p w:rsidR="009520A9" w:rsidRDefault="00770482">
      <w:r>
        <w:t xml:space="preserve">Za potrebe održavanja nacionalnog treninga za predstavnike multiplikatora angažirat će se vanjski stručnjaci, za </w:t>
      </w:r>
      <w:r>
        <w:t xml:space="preserve">čije je honorare na stavci Intelektualne i osobne usluge predviđeno 2.389 EUR. </w:t>
      </w:r>
    </w:p>
    <w:p w:rsidR="009520A9" w:rsidRDefault="00770482">
      <w:r>
        <w:t>Trošak službenih putovanja na nacionalnoj razini (prezentacije Eurodeskovih usluga i trening za nacionalnu mrežu koordinatora) i međunarodnoj razini (redoviti sastanci europske</w:t>
      </w:r>
      <w:r>
        <w:t xml:space="preserve"> Eurodesk mreže, međunarodni treninzi za nacionalne koordinatore i konferencije) za zaposlenike AMPEU-a iznosi 9.330 EUR. </w:t>
      </w:r>
    </w:p>
    <w:p w:rsidR="009520A9" w:rsidRDefault="00770482">
      <w:r>
        <w:t>Za troškove putovanja vanjskih suradnika predviđeno je 5.487 EUR (troškovi sudjelovanja 16 predstavnika mutliplikatora na nacionalnom</w:t>
      </w:r>
      <w:r>
        <w:t xml:space="preserve"> sastanku i nacionalnom treningu, troškovi sudjelovanja odabranih predstavnika na međunarodnim seminarima za Eurodeskove multiplikatore). </w:t>
      </w:r>
    </w:p>
    <w:p w:rsidR="009520A9" w:rsidRDefault="00770482">
      <w:r>
        <w:t>U skladu s temeljnom ulogom Eurodeska - diseminacijom informacija o europskim mogućnostima i politikama za mlade izra</w:t>
      </w:r>
      <w:r>
        <w:t xml:space="preserve">vno i putem lokalnih i regionalnih partnera – multiplikatora, za organizaciju informativno-promotivnih aktivnosti i naknade organizacijama multiplikatorima putem ugovora o poslovnoj suradnji predviđeno je 20.108 EUR. </w:t>
      </w:r>
    </w:p>
    <w:p w:rsidR="009520A9" w:rsidRDefault="00770482">
      <w:r>
        <w:t>Za izradu i tisak promotivnih materija</w:t>
      </w:r>
      <w:r>
        <w:t xml:space="preserve">la i informativnih publikacija sa svrhom diseminacije europskih mogućnosti za mobilnost mladih predviđeno je 7.500 EUR.  </w:t>
      </w:r>
    </w:p>
    <w:p w:rsidR="009520A9" w:rsidRDefault="00770482">
      <w:r>
        <w:t xml:space="preserve">Sukladno inflaciji i poskupljenjima troškova hrane, pića i najma, za troškove reprezentacije na sastancima, konferencijama, radionicama i seminarima predviđeno je 4.400 EUR, a za trošak najma dvorana 1.500 EUR. </w:t>
      </w:r>
    </w:p>
    <w:p w:rsidR="009520A9" w:rsidRDefault="00770482">
      <w:r>
        <w:t>Među operativnim troškovima redovnog uredsko</w:t>
      </w:r>
      <w:r>
        <w:t>g poslovanja su troškovi uredskog materijala te ostali različiti radni materijali za radionice i informativna događanja (431,00 EUR).</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r>
              <w:rPr>
                <w:rFonts w:cs="Times New Roman"/>
              </w:rPr>
              <w:t>)</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mladih osoba informiranih o europskim programima mobilnosti</w:t>
            </w:r>
          </w:p>
        </w:tc>
        <w:tc>
          <w:tcPr>
            <w:tcW w:w="2245" w:type="dxa"/>
            <w:vAlign w:val="top"/>
          </w:tcPr>
          <w:p w:rsidR="009520A9" w:rsidRDefault="00770482">
            <w:pPr>
              <w:pStyle w:val="CellColumn"/>
              <w:jc w:val="left"/>
            </w:pPr>
            <w:r>
              <w:rPr>
                <w:rFonts w:cs="Times New Roman"/>
              </w:rPr>
              <w:t>Putem Eurodesk mreže mlade osobe primaju informacije o mogućnostima za volontiranje, neformalno učenje u inozemstvu itd., uživo na aktivnostima koje organizira AMPEU i Eurodeskovi multiplikatori te putem mrežnih kanala informiranja</w:t>
            </w:r>
          </w:p>
        </w:tc>
        <w:tc>
          <w:tcPr>
            <w:tcW w:w="918" w:type="dxa"/>
          </w:tcPr>
          <w:p w:rsidR="009520A9" w:rsidRDefault="00770482">
            <w:pPr>
              <w:jc w:val="center"/>
            </w:pPr>
            <w:r>
              <w:t>Broj</w:t>
            </w:r>
          </w:p>
        </w:tc>
        <w:tc>
          <w:tcPr>
            <w:tcW w:w="918" w:type="dxa"/>
          </w:tcPr>
          <w:p w:rsidR="009520A9" w:rsidRDefault="00770482">
            <w:pPr>
              <w:jc w:val="center"/>
            </w:pPr>
            <w:r>
              <w:t>15.500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16.000</w:t>
            </w:r>
          </w:p>
        </w:tc>
        <w:tc>
          <w:tcPr>
            <w:tcW w:w="918" w:type="dxa"/>
          </w:tcPr>
          <w:p w:rsidR="009520A9" w:rsidRDefault="00770482">
            <w:pPr>
              <w:jc w:val="center"/>
            </w:pPr>
            <w:r>
              <w:t>16.250</w:t>
            </w:r>
          </w:p>
        </w:tc>
        <w:tc>
          <w:tcPr>
            <w:tcW w:w="918" w:type="dxa"/>
          </w:tcPr>
          <w:p w:rsidR="009520A9" w:rsidRDefault="00770482">
            <w:pPr>
              <w:jc w:val="center"/>
            </w:pPr>
            <w:r>
              <w:t>16.400</w:t>
            </w:r>
          </w:p>
        </w:tc>
      </w:tr>
      <w:tr w:rsidR="009520A9">
        <w:trPr>
          <w:jc w:val="center"/>
        </w:trPr>
        <w:tc>
          <w:tcPr>
            <w:tcW w:w="2245" w:type="dxa"/>
            <w:vAlign w:val="top"/>
          </w:tcPr>
          <w:p w:rsidR="009520A9" w:rsidRDefault="00770482">
            <w:pPr>
              <w:pStyle w:val="CellColumn"/>
              <w:jc w:val="left"/>
            </w:pPr>
            <w:r>
              <w:rPr>
                <w:rFonts w:cs="Times New Roman"/>
              </w:rPr>
              <w:t>Broj polaznika stručnog osposobljavanja</w:t>
            </w:r>
          </w:p>
        </w:tc>
        <w:tc>
          <w:tcPr>
            <w:tcW w:w="2245" w:type="dxa"/>
            <w:vAlign w:val="top"/>
          </w:tcPr>
          <w:p w:rsidR="009520A9" w:rsidRDefault="00770482">
            <w:pPr>
              <w:pStyle w:val="CellColumn"/>
              <w:jc w:val="left"/>
            </w:pPr>
            <w:r>
              <w:rPr>
                <w:rFonts w:cs="Times New Roman"/>
              </w:rPr>
              <w:t>Agencija će predstavnike organizacija multiplikatora educirati o informiranju mladih na modulima Qualifying Training Programme i europskom seminaru za multiplikatore</w:t>
            </w:r>
          </w:p>
        </w:tc>
        <w:tc>
          <w:tcPr>
            <w:tcW w:w="918" w:type="dxa"/>
          </w:tcPr>
          <w:p w:rsidR="009520A9" w:rsidRDefault="00770482">
            <w:pPr>
              <w:jc w:val="center"/>
            </w:pPr>
            <w:r>
              <w:t>Broj</w:t>
            </w:r>
          </w:p>
        </w:tc>
        <w:tc>
          <w:tcPr>
            <w:tcW w:w="918" w:type="dxa"/>
          </w:tcPr>
          <w:p w:rsidR="009520A9" w:rsidRDefault="00770482">
            <w:pPr>
              <w:jc w:val="center"/>
            </w:pPr>
            <w:r>
              <w:t>16</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16</w:t>
            </w:r>
          </w:p>
        </w:tc>
        <w:tc>
          <w:tcPr>
            <w:tcW w:w="918" w:type="dxa"/>
          </w:tcPr>
          <w:p w:rsidR="009520A9" w:rsidRDefault="00770482">
            <w:pPr>
              <w:jc w:val="center"/>
            </w:pPr>
            <w:r>
              <w:t>16</w:t>
            </w:r>
          </w:p>
        </w:tc>
        <w:tc>
          <w:tcPr>
            <w:tcW w:w="918" w:type="dxa"/>
          </w:tcPr>
          <w:p w:rsidR="009520A9" w:rsidRDefault="00770482">
            <w:pPr>
              <w:jc w:val="center"/>
            </w:pPr>
            <w:r>
              <w:t>16</w:t>
            </w:r>
          </w:p>
        </w:tc>
      </w:tr>
    </w:tbl>
    <w:p w:rsidR="009520A9" w:rsidRDefault="009520A9">
      <w:pPr>
        <w:jc w:val="left"/>
      </w:pPr>
    </w:p>
    <w:p w:rsidR="009520A9" w:rsidRDefault="00770482">
      <w:pPr>
        <w:pStyle w:val="Heading4"/>
      </w:pPr>
      <w:r>
        <w:t>A818024 P</w:t>
      </w:r>
      <w:r>
        <w:t>ROVEDBA E-TWINNING MREŽE</w:t>
      </w:r>
    </w:p>
    <w:p w:rsidR="009520A9" w:rsidRDefault="00770482">
      <w:pPr>
        <w:pStyle w:val="Heading8"/>
        <w:jc w:val="left"/>
      </w:pPr>
      <w:r>
        <w:t>Zakonske i druge pravne osnove</w:t>
      </w:r>
    </w:p>
    <w:p w:rsidR="009520A9" w:rsidRDefault="00770482">
      <w:r>
        <w:t>Zakon o Agenciji za mobilnost i programe EU, ugovori s Europskom komisijom o provedbi aktivnosti eTwinning, Uredba (EU) 2021/817 Europskog parlamenta i Vijeća od 20. svibnja 2021. o uspostavi programa Unije za obrazovanje i osposobljavanje, mlade i sport E</w:t>
      </w:r>
      <w:r>
        <w:t>rasmus+ te o stavljanju izvan snage Uredbe (EU) br. 1288/2013.</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A818024</w:t>
            </w:r>
          </w:p>
        </w:tc>
        <w:tc>
          <w:tcPr>
            <w:tcW w:w="1632" w:type="dxa"/>
            <w:vAlign w:val="top"/>
          </w:tcPr>
          <w:p w:rsidR="009520A9" w:rsidRDefault="00770482">
            <w:pPr>
              <w:jc w:val="right"/>
            </w:pPr>
            <w:r>
              <w:t>106.869</w:t>
            </w:r>
          </w:p>
        </w:tc>
        <w:tc>
          <w:tcPr>
            <w:tcW w:w="1632" w:type="dxa"/>
            <w:vAlign w:val="top"/>
          </w:tcPr>
          <w:p w:rsidR="009520A9" w:rsidRDefault="00770482">
            <w:pPr>
              <w:jc w:val="right"/>
            </w:pPr>
            <w:r>
              <w:t>178.628</w:t>
            </w:r>
          </w:p>
        </w:tc>
        <w:tc>
          <w:tcPr>
            <w:tcW w:w="1632" w:type="dxa"/>
            <w:vAlign w:val="top"/>
          </w:tcPr>
          <w:p w:rsidR="009520A9" w:rsidRDefault="00770482">
            <w:pPr>
              <w:jc w:val="right"/>
            </w:pPr>
            <w:r>
              <w:t>175.654</w:t>
            </w:r>
          </w:p>
        </w:tc>
        <w:tc>
          <w:tcPr>
            <w:tcW w:w="1632" w:type="dxa"/>
            <w:vAlign w:val="top"/>
          </w:tcPr>
          <w:p w:rsidR="009520A9" w:rsidRDefault="00770482">
            <w:pPr>
              <w:jc w:val="right"/>
            </w:pPr>
            <w:r>
              <w:t>184.410</w:t>
            </w:r>
          </w:p>
        </w:tc>
        <w:tc>
          <w:tcPr>
            <w:tcW w:w="1632" w:type="dxa"/>
            <w:vAlign w:val="top"/>
          </w:tcPr>
          <w:p w:rsidR="009520A9" w:rsidRDefault="00770482">
            <w:pPr>
              <w:jc w:val="right"/>
            </w:pPr>
            <w:r>
              <w:t>192.222</w:t>
            </w:r>
          </w:p>
        </w:tc>
        <w:tc>
          <w:tcPr>
            <w:tcW w:w="510" w:type="dxa"/>
            <w:vAlign w:val="top"/>
          </w:tcPr>
          <w:p w:rsidR="009520A9" w:rsidRDefault="00770482">
            <w:pPr>
              <w:jc w:val="right"/>
            </w:pPr>
            <w:r>
              <w:t>98,3</w:t>
            </w:r>
          </w:p>
        </w:tc>
      </w:tr>
    </w:tbl>
    <w:p w:rsidR="009520A9" w:rsidRDefault="009520A9">
      <w:pPr>
        <w:jc w:val="left"/>
      </w:pPr>
    </w:p>
    <w:p w:rsidR="009520A9" w:rsidRDefault="00770482">
      <w:r>
        <w:t xml:space="preserve">U razdoblju 2024. – 2026. očekuje se ostvarenje sljedećeg: </w:t>
      </w:r>
    </w:p>
    <w:p w:rsidR="009520A9" w:rsidRDefault="00770482">
      <w:r>
        <w:t>eTwinning je europska zajednica odgojno-obrazovnih djelatnika koja djeluje putem sigurne platforme. Članovi eTwinning zajednice mogu se uključiti u niz aktivnosti: provedbu projekata; razmjenu str</w:t>
      </w:r>
      <w:r>
        <w:t xml:space="preserve">učnih sadržaja s kolegama i razvoj mrežâ stručnjaka; sudjelovanje u raznim oblicima profesionalnoga razvoja (online i fizičke edukacije, konferencije i sl.).  </w:t>
      </w:r>
    </w:p>
    <w:p w:rsidR="009520A9" w:rsidRDefault="00770482">
      <w:r>
        <w:t>Zajednica eTwinninga u Republici Hrvatskoj broji više od 20 tisuća odgojno-obrazovnih djelatnika</w:t>
      </w:r>
      <w:r>
        <w:t xml:space="preserve"> i 182 odgojno-obrazovne ustanove s oznakom škole eTwinninga, kojima potporu u aktivnostima pruža Nacionalna organizacija za potporu eTwinningu ustrojena pri Agenciji za mobilnost i programe Europske unije.  </w:t>
      </w:r>
    </w:p>
    <w:p w:rsidR="009520A9" w:rsidRDefault="00770482">
      <w:r>
        <w:t>Nacionalna organizacija odgojno-obrazovnim djel</w:t>
      </w:r>
      <w:r>
        <w:t>atnicima pruža potporu tijekom postupka registracije na platformu eTwinning, prilikom traženja partnera te provedbe aktivnosti i projekata. Osim toga, dodjeljuje Nacionalne oznake kvalitete i nacionalne nagrade COMET, organizira radionice, seminare, konfer</w:t>
      </w:r>
      <w:r>
        <w:t>encije i webinare, raspisuje i provodi pozive namijenjene odgojno-obrazovnim djelatnicima za stručna usavršavanja u zemljama sudionicima eTwinninga (eTwinningove mobilnosti), u suradnji s mrežom od 16 eTwinningovih ambasadora organizira niz edukacija za od</w:t>
      </w:r>
      <w:r>
        <w:t xml:space="preserve">gojno-obrazovne djelatnike diljem Hrvatske, ali i događanja europskoga dosega. </w:t>
      </w:r>
    </w:p>
    <w:p w:rsidR="009520A9" w:rsidRDefault="00770482">
      <w:r>
        <w:t xml:space="preserve">Ova aktivnost sastoji se od sljedećih elemenata: </w:t>
      </w:r>
    </w:p>
    <w:p w:rsidR="009520A9" w:rsidRDefault="00770482">
      <w:r>
        <w:t>1.</w:t>
      </w:r>
      <w:r>
        <w:tab/>
        <w:t xml:space="preserve">Rashodi za zaposlene </w:t>
      </w:r>
    </w:p>
    <w:p w:rsidR="009520A9" w:rsidRDefault="00770482">
      <w:r>
        <w:t>2.</w:t>
      </w:r>
      <w:r>
        <w:tab/>
        <w:t xml:space="preserve">Materijalni rashodi za provedbu inicijative </w:t>
      </w:r>
    </w:p>
    <w:p w:rsidR="009520A9" w:rsidRDefault="00770482">
      <w:r>
        <w:t xml:space="preserve">Izračun financijskog plana: </w:t>
      </w:r>
    </w:p>
    <w:p w:rsidR="009520A9" w:rsidRDefault="00770482">
      <w:r>
        <w:t>Ugovor o provedbi eTwinn</w:t>
      </w:r>
      <w:r>
        <w:t>inga predviđa 2 proračunske kategorije koje za eTwinning propisuje Europska komisija: a) kategoriju troškova osoblja (plaće, doprinosi) te b) kategoriju koja obuhvaća troškove službenih putovanja djelatnika i vanjskih suradnika, troškove mobilnosti odgojno</w:t>
      </w:r>
      <w:r>
        <w:t xml:space="preserve">-obrazovnih djelatnika, troškove naknade informativno-promotivnih edukacija (intelektualne usluge) te ostale troškove koji uključuju organizaciju informativnih događanja, promotivne materijale i informativne publikacije, reprezentaciju i slično. </w:t>
      </w:r>
    </w:p>
    <w:p w:rsidR="009520A9" w:rsidRDefault="00770482">
      <w:r>
        <w:t>U 2024. g</w:t>
      </w:r>
      <w:r>
        <w:t xml:space="preserve">odini, a isto tako i u narednim godinama 2025. i 2026., na izvoru 12 planirana su sredstva za redovan rad 3 djelatnika u različitim postotcima u iznosu od 26.919 EUR (izračun je napravljen na osnovi dogovorenog udjela sufinanciranog kroz eTwinning).  </w:t>
      </w:r>
    </w:p>
    <w:p w:rsidR="009520A9" w:rsidRDefault="00770482">
      <w:r>
        <w:t>Sred</w:t>
      </w:r>
      <w:r>
        <w:t xml:space="preserve">stva sa izvora 51 za 2024. godinu u manjoj su mjeri povećana u odnosu na tekući financijski plan za 2023. godinu. Za 2025. i 2026. godinu planirano je povećanje sredstava od 5% na svim stavkama izvora 51. </w:t>
      </w:r>
    </w:p>
    <w:p w:rsidR="009520A9" w:rsidRDefault="00770482">
      <w:r>
        <w:t>Za potrebe službenih putovanja i stručnih usavršav</w:t>
      </w:r>
      <w:r>
        <w:t xml:space="preserve">anja zaposlenika u 2024. godini planirano je ukupno 17.000 EUR.  </w:t>
      </w:r>
    </w:p>
    <w:p w:rsidR="009520A9" w:rsidRDefault="00770482">
      <w:r>
        <w:t>Na stavci zakupnine i najamnine za potrebe održavanja nacionalne godišnje eTwinning konferencije planirano je ukupno 9.000 EUR. Iznos je povećan u odnosu na prethodno razdoblje zbog utjecaja</w:t>
      </w:r>
      <w:r>
        <w:t xml:space="preserve"> inflacije na troškove organizacije događanja. Na stavci reprezentacije za isto događanje također je planirano ukupno 5.000 EUR. </w:t>
      </w:r>
    </w:p>
    <w:p w:rsidR="009520A9" w:rsidRDefault="00770482">
      <w:r>
        <w:t>Za potrebe angažiranja eTwinning ambasadora i vanjskih stručnjaka za nacionalne i europske edukacije te izrade materijala za p</w:t>
      </w:r>
      <w:r>
        <w:t>otrebe istih (prijevod, lektura) na pozicijama intelektualne i osobne usluge planirano je ukupno 59.240 EUR. Naknade za aktivnosti koje provode vanjski suradnici definirane su Odlukom o visini naknade za vanjske suradnike u sklopu aktivnosti eTwinning, a u</w:t>
      </w:r>
      <w:r>
        <w:t xml:space="preserve"> rasponu su od 27 EUR do 345 EUR po pripremljenoj i održanoj aktivnosti. </w:t>
      </w:r>
    </w:p>
    <w:p w:rsidR="009520A9" w:rsidRDefault="00770482">
      <w:r>
        <w:t xml:space="preserve">U svrhu prijevoza sudionika događanja i distribucije info i promo materijala na stavci Usluge telefona, pošte i prijevoza planirano je 1.000 EUR. </w:t>
      </w:r>
    </w:p>
    <w:p w:rsidR="009520A9" w:rsidRDefault="00770482">
      <w:r>
        <w:t>Za eTwinning mobilnosti (financiran</w:t>
      </w:r>
      <w:r>
        <w:t>je stručnih usavršavanja odgojno-obrazovnih djelatnika u zemljama sudionicama eTwinning programa), na pozicijama naknade troškova osobama izvan radnog odnosa; subvencije trgovačkim društvima, zadrugama, poljoprivrednicima; te tekuće pomoći temeljem prijeno</w:t>
      </w:r>
      <w:r>
        <w:t>sa EU sredstava ukupno je planirano 41.000 EUR. Ovim sredstvima planira se financirati 40 mobilnosti prosječnoga iznosa 1.150 EUR što obuhvaća troškove kotizacija, puta i smještaja. Određen broj mobilnosti održat će se u virtualnom formatu, bez povezanih t</w:t>
      </w:r>
      <w:r>
        <w:t xml:space="preserve">roškova sudjelovanja.  </w:t>
      </w:r>
    </w:p>
    <w:p w:rsidR="009520A9" w:rsidRDefault="00770482">
      <w:r>
        <w:t>Kod pokazatelja „Broj registriranih eTwinning projekata“ smanjena je polazna vrijednost i Ciljana vrijednost za 2024. u odnosu na prošlogodišnji financijski plan zbog migracije eTwinningove platforme na novi sustav Europske komisije i poteškoće prilikom re</w:t>
      </w:r>
      <w:r>
        <w:t>gistracije novih korisnika i migracije korisničkih podataka sa stare platforme. Administrativni i operativni troškovi, koji uključuju bankarske usluge i usluge platnog prometa, računalne usluge, usluge promidžbe i informiranja, nabavu uredskog materijala i</w:t>
      </w:r>
      <w:r>
        <w:t xml:space="preserve"> ostale materijalne rashode, iznose ukupno 16.495 EUR. Iznos je značajno povećan u odnosu na prethodno razdoblje zbog povećanih potreba produkcije promotivnih materijala za škole s oznakom eTwinning, redovno održavanje i dorade nacionalne mrežne stranice i</w:t>
      </w:r>
      <w:r>
        <w:t xml:space="preserve"> sl.</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55"/>
        <w:gridCol w:w="2255"/>
        <w:gridCol w:w="922"/>
        <w:gridCol w:w="922"/>
        <w:gridCol w:w="1086"/>
        <w:gridCol w:w="922"/>
        <w:gridCol w:w="922"/>
        <w:gridCol w:w="922"/>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održanih informativno-edukacijskih aktivnosti</w:t>
            </w:r>
          </w:p>
        </w:tc>
        <w:tc>
          <w:tcPr>
            <w:tcW w:w="2245" w:type="dxa"/>
            <w:vAlign w:val="top"/>
          </w:tcPr>
          <w:p w:rsidR="009520A9" w:rsidRDefault="00770482">
            <w:pPr>
              <w:pStyle w:val="CellColumn"/>
              <w:jc w:val="left"/>
            </w:pPr>
            <w:r>
              <w:rPr>
                <w:rFonts w:cs="Times New Roman"/>
              </w:rPr>
              <w:t>Informativno- edukacijske aktivnosti obuhvaćaju radionice, info dane, mrežne edukacije, godišnju eTwinning konferenciju te gostovanja na stručnim skupovima; a održavaju se u svrhu promocije mogućnosti eTwinninga i stručnog usavršavanja odgojno-obrazovnih d</w:t>
            </w:r>
            <w:r>
              <w:rPr>
                <w:rFonts w:cs="Times New Roman"/>
              </w:rPr>
              <w:t>jelatnika. Provode se fizički i online.</w:t>
            </w:r>
          </w:p>
        </w:tc>
        <w:tc>
          <w:tcPr>
            <w:tcW w:w="918" w:type="dxa"/>
          </w:tcPr>
          <w:p w:rsidR="009520A9" w:rsidRDefault="00770482">
            <w:pPr>
              <w:jc w:val="center"/>
            </w:pPr>
            <w:r>
              <w:t>Broj</w:t>
            </w:r>
          </w:p>
        </w:tc>
        <w:tc>
          <w:tcPr>
            <w:tcW w:w="918" w:type="dxa"/>
          </w:tcPr>
          <w:p w:rsidR="009520A9" w:rsidRDefault="00770482">
            <w:pPr>
              <w:jc w:val="center"/>
            </w:pPr>
            <w:r>
              <w:t>95</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95</w:t>
            </w:r>
          </w:p>
        </w:tc>
        <w:tc>
          <w:tcPr>
            <w:tcW w:w="918" w:type="dxa"/>
          </w:tcPr>
          <w:p w:rsidR="009520A9" w:rsidRDefault="00770482">
            <w:pPr>
              <w:jc w:val="center"/>
            </w:pPr>
            <w:r>
              <w:t>100</w:t>
            </w:r>
          </w:p>
        </w:tc>
        <w:tc>
          <w:tcPr>
            <w:tcW w:w="918" w:type="dxa"/>
          </w:tcPr>
          <w:p w:rsidR="009520A9" w:rsidRDefault="00770482">
            <w:pPr>
              <w:jc w:val="center"/>
            </w:pPr>
            <w:r>
              <w:t>105</w:t>
            </w:r>
          </w:p>
        </w:tc>
      </w:tr>
      <w:tr w:rsidR="009520A9">
        <w:trPr>
          <w:jc w:val="center"/>
        </w:trPr>
        <w:tc>
          <w:tcPr>
            <w:tcW w:w="2245" w:type="dxa"/>
            <w:vAlign w:val="top"/>
          </w:tcPr>
          <w:p w:rsidR="009520A9" w:rsidRDefault="00770482">
            <w:pPr>
              <w:pStyle w:val="CellColumn"/>
              <w:jc w:val="left"/>
            </w:pPr>
            <w:r>
              <w:rPr>
                <w:rFonts w:cs="Times New Roman"/>
              </w:rPr>
              <w:t>Broj ostvarenih eTwinning mobilnosti</w:t>
            </w:r>
          </w:p>
        </w:tc>
        <w:tc>
          <w:tcPr>
            <w:tcW w:w="2245" w:type="dxa"/>
            <w:vAlign w:val="top"/>
          </w:tcPr>
          <w:p w:rsidR="009520A9" w:rsidRDefault="00770482">
            <w:pPr>
              <w:pStyle w:val="CellColumn"/>
              <w:jc w:val="left"/>
            </w:pPr>
            <w:r>
              <w:rPr>
                <w:rFonts w:cs="Times New Roman"/>
              </w:rPr>
              <w:t>eTwinning mobilnosti su stručna usavršavanja koja se odvijaju u jednoj od zemalja sudionica eTwinninga. Ciljani rezultat eTwinning mobilnosti je osposobljavanje za korištenje funkcionalnosti eTwinning platforme, umrežavanje, pokretanje i provedba eTwinning</w:t>
            </w:r>
            <w:r>
              <w:rPr>
                <w:rFonts w:cs="Times New Roman"/>
              </w:rPr>
              <w:t xml:space="preserve"> projekata te integracija aktivnosti ostvarenih eTwinningom u kurikulume odgojno-obrazovnih ustanova. Provode se fizički i online.</w:t>
            </w:r>
          </w:p>
        </w:tc>
        <w:tc>
          <w:tcPr>
            <w:tcW w:w="918" w:type="dxa"/>
          </w:tcPr>
          <w:p w:rsidR="009520A9" w:rsidRDefault="00770482">
            <w:pPr>
              <w:jc w:val="center"/>
            </w:pPr>
            <w:r>
              <w:t>Broj</w:t>
            </w:r>
          </w:p>
        </w:tc>
        <w:tc>
          <w:tcPr>
            <w:tcW w:w="918" w:type="dxa"/>
          </w:tcPr>
          <w:p w:rsidR="009520A9" w:rsidRDefault="00770482">
            <w:pPr>
              <w:jc w:val="center"/>
            </w:pPr>
            <w:r>
              <w:t>40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50</w:t>
            </w:r>
          </w:p>
        </w:tc>
        <w:tc>
          <w:tcPr>
            <w:tcW w:w="918" w:type="dxa"/>
          </w:tcPr>
          <w:p w:rsidR="009520A9" w:rsidRDefault="00770482">
            <w:pPr>
              <w:jc w:val="center"/>
            </w:pPr>
            <w:r>
              <w:t>50</w:t>
            </w:r>
          </w:p>
        </w:tc>
        <w:tc>
          <w:tcPr>
            <w:tcW w:w="918" w:type="dxa"/>
          </w:tcPr>
          <w:p w:rsidR="009520A9" w:rsidRDefault="00770482">
            <w:pPr>
              <w:jc w:val="center"/>
            </w:pPr>
            <w:r>
              <w:t>55</w:t>
            </w:r>
          </w:p>
        </w:tc>
      </w:tr>
      <w:tr w:rsidR="009520A9">
        <w:trPr>
          <w:jc w:val="center"/>
        </w:trPr>
        <w:tc>
          <w:tcPr>
            <w:tcW w:w="2245" w:type="dxa"/>
            <w:vAlign w:val="top"/>
          </w:tcPr>
          <w:p w:rsidR="009520A9" w:rsidRDefault="00770482">
            <w:pPr>
              <w:pStyle w:val="CellColumn"/>
              <w:jc w:val="left"/>
            </w:pPr>
            <w:r>
              <w:rPr>
                <w:rFonts w:cs="Times New Roman"/>
              </w:rPr>
              <w:t>Broj registriranih eTwinning projekata</w:t>
            </w:r>
          </w:p>
        </w:tc>
        <w:tc>
          <w:tcPr>
            <w:tcW w:w="2245" w:type="dxa"/>
            <w:vAlign w:val="top"/>
          </w:tcPr>
          <w:p w:rsidR="009520A9" w:rsidRDefault="00770482">
            <w:pPr>
              <w:pStyle w:val="CellColumn"/>
              <w:jc w:val="left"/>
            </w:pPr>
            <w:r>
              <w:rPr>
                <w:rFonts w:cs="Times New Roman"/>
              </w:rPr>
              <w:t>eTwinning projekti su digitalni projekti kojima se promiču dig</w:t>
            </w:r>
            <w:r>
              <w:rPr>
                <w:rFonts w:cs="Times New Roman"/>
              </w:rPr>
              <w:t>italne prakse, e-sigurnost, inovativni i kreativni pedagoški pristupi te suradnja u nastavi između učitelja i učenika.</w:t>
            </w:r>
          </w:p>
        </w:tc>
        <w:tc>
          <w:tcPr>
            <w:tcW w:w="918" w:type="dxa"/>
          </w:tcPr>
          <w:p w:rsidR="009520A9" w:rsidRDefault="00770482">
            <w:pPr>
              <w:jc w:val="center"/>
            </w:pPr>
            <w:r>
              <w:t>Broj</w:t>
            </w:r>
          </w:p>
        </w:tc>
        <w:tc>
          <w:tcPr>
            <w:tcW w:w="918" w:type="dxa"/>
          </w:tcPr>
          <w:p w:rsidR="009520A9" w:rsidRDefault="00770482">
            <w:pPr>
              <w:jc w:val="center"/>
            </w:pPr>
            <w:r>
              <w:t>800</w:t>
            </w:r>
          </w:p>
        </w:tc>
        <w:tc>
          <w:tcPr>
            <w:tcW w:w="918" w:type="dxa"/>
          </w:tcPr>
          <w:p w:rsidR="009520A9" w:rsidRDefault="00770482">
            <w:pPr>
              <w:pStyle w:val="CellColumn"/>
              <w:jc w:val="center"/>
            </w:pPr>
            <w:r>
              <w:rPr>
                <w:rFonts w:cs="Times New Roman"/>
              </w:rPr>
              <w:t>NSO desktop (digitalna platforma Središnje službe za podršku eTwinningu kao izvor statističkih podataka)</w:t>
            </w:r>
          </w:p>
        </w:tc>
        <w:tc>
          <w:tcPr>
            <w:tcW w:w="918" w:type="dxa"/>
          </w:tcPr>
          <w:p w:rsidR="009520A9" w:rsidRDefault="00770482">
            <w:pPr>
              <w:jc w:val="center"/>
            </w:pPr>
            <w:r>
              <w:t>900</w:t>
            </w:r>
          </w:p>
        </w:tc>
        <w:tc>
          <w:tcPr>
            <w:tcW w:w="918" w:type="dxa"/>
          </w:tcPr>
          <w:p w:rsidR="009520A9" w:rsidRDefault="00770482">
            <w:pPr>
              <w:jc w:val="center"/>
            </w:pPr>
            <w:r>
              <w:t>1.000</w:t>
            </w:r>
          </w:p>
        </w:tc>
        <w:tc>
          <w:tcPr>
            <w:tcW w:w="918" w:type="dxa"/>
          </w:tcPr>
          <w:p w:rsidR="009520A9" w:rsidRDefault="00770482">
            <w:pPr>
              <w:jc w:val="center"/>
            </w:pPr>
            <w:r>
              <w:t>1.100</w:t>
            </w:r>
          </w:p>
        </w:tc>
      </w:tr>
      <w:tr w:rsidR="009520A9">
        <w:trPr>
          <w:jc w:val="center"/>
        </w:trPr>
        <w:tc>
          <w:tcPr>
            <w:tcW w:w="2245" w:type="dxa"/>
            <w:vAlign w:val="top"/>
          </w:tcPr>
          <w:p w:rsidR="009520A9" w:rsidRDefault="00770482">
            <w:pPr>
              <w:pStyle w:val="CellColumn"/>
              <w:jc w:val="left"/>
            </w:pPr>
            <w:r>
              <w:rPr>
                <w:rFonts w:cs="Times New Roman"/>
              </w:rPr>
              <w:t>Broj registriranih korisnika eTwinninga</w:t>
            </w:r>
          </w:p>
        </w:tc>
        <w:tc>
          <w:tcPr>
            <w:tcW w:w="2245" w:type="dxa"/>
            <w:vAlign w:val="top"/>
          </w:tcPr>
          <w:p w:rsidR="009520A9" w:rsidRDefault="00770482">
            <w:pPr>
              <w:pStyle w:val="CellColumn"/>
              <w:jc w:val="left"/>
            </w:pPr>
            <w:r>
              <w:rPr>
                <w:rFonts w:cs="Times New Roman"/>
              </w:rPr>
              <w:t>Registracijom na eTwinning digitalnu platformu korisnicima se omogućava pokretanje eTwinning projekata, umrežavanje s kolegama u odgojno-obrazovnim ustanovama iz eTwinning zemalja, pronalaženje partnera za Erasmus+ p</w:t>
            </w:r>
            <w:r>
              <w:rPr>
                <w:rFonts w:cs="Times New Roman"/>
              </w:rPr>
              <w:t>rojekte, te profesionalna usavršavanja.</w:t>
            </w:r>
          </w:p>
        </w:tc>
        <w:tc>
          <w:tcPr>
            <w:tcW w:w="918" w:type="dxa"/>
          </w:tcPr>
          <w:p w:rsidR="009520A9" w:rsidRDefault="00770482">
            <w:pPr>
              <w:jc w:val="center"/>
            </w:pPr>
            <w:r>
              <w:t>Broj</w:t>
            </w:r>
          </w:p>
        </w:tc>
        <w:tc>
          <w:tcPr>
            <w:tcW w:w="918" w:type="dxa"/>
          </w:tcPr>
          <w:p w:rsidR="009520A9" w:rsidRDefault="00770482">
            <w:pPr>
              <w:jc w:val="center"/>
            </w:pPr>
            <w:r>
              <w:t>800</w:t>
            </w:r>
          </w:p>
        </w:tc>
        <w:tc>
          <w:tcPr>
            <w:tcW w:w="918" w:type="dxa"/>
          </w:tcPr>
          <w:p w:rsidR="009520A9" w:rsidRDefault="00770482">
            <w:pPr>
              <w:pStyle w:val="CellColumn"/>
              <w:jc w:val="center"/>
            </w:pPr>
            <w:r>
              <w:rPr>
                <w:rFonts w:cs="Times New Roman"/>
              </w:rPr>
              <w:t>NSO desktop (digitalna platforma Središnje službe za podršku eTwinningu kao izvor statističkih podataka)</w:t>
            </w:r>
          </w:p>
        </w:tc>
        <w:tc>
          <w:tcPr>
            <w:tcW w:w="918" w:type="dxa"/>
          </w:tcPr>
          <w:p w:rsidR="009520A9" w:rsidRDefault="00770482">
            <w:pPr>
              <w:jc w:val="center"/>
            </w:pPr>
            <w:r>
              <w:t>2.300</w:t>
            </w:r>
          </w:p>
        </w:tc>
        <w:tc>
          <w:tcPr>
            <w:tcW w:w="918" w:type="dxa"/>
          </w:tcPr>
          <w:p w:rsidR="009520A9" w:rsidRDefault="00770482">
            <w:pPr>
              <w:jc w:val="center"/>
            </w:pPr>
            <w:r>
              <w:t>2.500</w:t>
            </w:r>
          </w:p>
        </w:tc>
        <w:tc>
          <w:tcPr>
            <w:tcW w:w="918" w:type="dxa"/>
          </w:tcPr>
          <w:p w:rsidR="009520A9" w:rsidRDefault="00770482">
            <w:pPr>
              <w:jc w:val="center"/>
            </w:pPr>
            <w:r>
              <w:t>2.700</w:t>
            </w:r>
          </w:p>
        </w:tc>
      </w:tr>
    </w:tbl>
    <w:p w:rsidR="009520A9" w:rsidRDefault="009520A9">
      <w:pPr>
        <w:jc w:val="left"/>
      </w:pPr>
    </w:p>
    <w:p w:rsidR="009520A9" w:rsidRDefault="00770482">
      <w:pPr>
        <w:pStyle w:val="Heading4"/>
      </w:pPr>
      <w:r>
        <w:t>A818033 ZNANSTVENA I VISOKOŠKOLSKA MOBILNOST</w:t>
      </w:r>
    </w:p>
    <w:p w:rsidR="009520A9" w:rsidRDefault="00770482">
      <w:pPr>
        <w:pStyle w:val="Heading8"/>
        <w:jc w:val="left"/>
      </w:pPr>
      <w:r>
        <w:t>Zakonske i druge pravne osnove</w:t>
      </w:r>
    </w:p>
    <w:p w:rsidR="009520A9" w:rsidRDefault="00770482">
      <w:r>
        <w:t xml:space="preserve">Zakon </w:t>
      </w:r>
      <w:r>
        <w:t>o Agenciji za mobilnost i programe EU</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A818033</w:t>
            </w:r>
          </w:p>
        </w:tc>
        <w:tc>
          <w:tcPr>
            <w:tcW w:w="1632" w:type="dxa"/>
            <w:vAlign w:val="top"/>
          </w:tcPr>
          <w:p w:rsidR="009520A9" w:rsidRDefault="00770482">
            <w:pPr>
              <w:jc w:val="right"/>
            </w:pPr>
            <w:r>
              <w:t>366.314</w:t>
            </w:r>
          </w:p>
        </w:tc>
        <w:tc>
          <w:tcPr>
            <w:tcW w:w="1632" w:type="dxa"/>
            <w:vAlign w:val="top"/>
          </w:tcPr>
          <w:p w:rsidR="009520A9" w:rsidRDefault="00770482">
            <w:pPr>
              <w:jc w:val="right"/>
            </w:pPr>
            <w:r>
              <w:t>466.576</w:t>
            </w:r>
          </w:p>
        </w:tc>
        <w:tc>
          <w:tcPr>
            <w:tcW w:w="1632" w:type="dxa"/>
            <w:vAlign w:val="top"/>
          </w:tcPr>
          <w:p w:rsidR="009520A9" w:rsidRDefault="00770482">
            <w:pPr>
              <w:jc w:val="right"/>
            </w:pPr>
            <w:r>
              <w:t>555.206</w:t>
            </w:r>
          </w:p>
        </w:tc>
        <w:tc>
          <w:tcPr>
            <w:tcW w:w="1632" w:type="dxa"/>
            <w:vAlign w:val="top"/>
          </w:tcPr>
          <w:p w:rsidR="009520A9" w:rsidRDefault="00770482">
            <w:pPr>
              <w:jc w:val="right"/>
            </w:pPr>
            <w:r>
              <w:t>555.867</w:t>
            </w:r>
          </w:p>
        </w:tc>
        <w:tc>
          <w:tcPr>
            <w:tcW w:w="1632" w:type="dxa"/>
            <w:vAlign w:val="top"/>
          </w:tcPr>
          <w:p w:rsidR="009520A9" w:rsidRDefault="00770482">
            <w:pPr>
              <w:jc w:val="right"/>
            </w:pPr>
            <w:r>
              <w:t>556.560</w:t>
            </w:r>
          </w:p>
        </w:tc>
        <w:tc>
          <w:tcPr>
            <w:tcW w:w="510" w:type="dxa"/>
            <w:vAlign w:val="top"/>
          </w:tcPr>
          <w:p w:rsidR="009520A9" w:rsidRDefault="00770482">
            <w:pPr>
              <w:jc w:val="right"/>
            </w:pPr>
            <w:r>
              <w:t>119,0</w:t>
            </w:r>
          </w:p>
        </w:tc>
      </w:tr>
    </w:tbl>
    <w:p w:rsidR="009520A9" w:rsidRDefault="009520A9">
      <w:pPr>
        <w:jc w:val="left"/>
      </w:pPr>
    </w:p>
    <w:p w:rsidR="009520A9" w:rsidRDefault="00770482">
      <w:r>
        <w:t xml:space="preserve">Ova aktivnost provodi se svake godine. </w:t>
      </w:r>
    </w:p>
    <w:p w:rsidR="009520A9" w:rsidRDefault="00770482">
      <w:r>
        <w:t xml:space="preserve">U razdoblju 2024. – 2026. očekuje se ostvarenje sljedećeg: </w:t>
      </w:r>
    </w:p>
    <w:p w:rsidR="009520A9" w:rsidRDefault="00770482">
      <w:r>
        <w:t>CEEPUS (Srednjoeuropski program razmjene za sveučilišne studije) regionalni je program mobilnosti studenata, doktoranada i nastavnog osoblja usmjeren na visoko obrazovanje i temelji se na multilat</w:t>
      </w:r>
      <w:r>
        <w:t xml:space="preserve">eralnom sporazumu. Osnovni cilj programa jest promicanje međunarodne suradnje visokih učilišta, poticanje akademske mobilnosti dionika visokog obrazovanja te promicanje regionalne i europske dimenzije u studijskim programima.  </w:t>
      </w:r>
    </w:p>
    <w:p w:rsidR="009520A9" w:rsidRDefault="00770482">
      <w:r>
        <w:t>Bilateralni program akademsk</w:t>
      </w:r>
      <w:r>
        <w:t>e mobilnosti (Bilateralne stipendije) je program stipendiranja državljana Republike Hrvatske i stranih državljana temeljem međunarodnih bilateralnih ugovora i programa suradnje u područjima obrazovanja i znanosti koje je Republika Hrvatska potpisala s part</w:t>
      </w:r>
      <w:r>
        <w:t>nerskim zemljama. Osnovni cilj Bilateralnog programa akademske mobilnosti je, u okviru međudržavne suradnje, provedba mobilnosti studenata, nastavnog osoblja i istraživača unutar i izvan Europskog prostora visokog obrazovanja kao sredstva za podizanje kval</w:t>
      </w:r>
      <w:r>
        <w:t xml:space="preserve">itete sustava obrazovanja i znanosti u RH. </w:t>
      </w:r>
    </w:p>
    <w:p w:rsidR="009520A9" w:rsidRDefault="00770482">
      <w:r>
        <w:t xml:space="preserve">Ova aktivnost sastoji se od sljedećih elemenata: </w:t>
      </w:r>
    </w:p>
    <w:p w:rsidR="009520A9" w:rsidRDefault="00770482">
      <w:r>
        <w:t>1.</w:t>
      </w:r>
      <w:r>
        <w:tab/>
        <w:t xml:space="preserve">Naknade građanima i kućanstvima (dodjela stipendija) </w:t>
      </w:r>
    </w:p>
    <w:p w:rsidR="009520A9" w:rsidRDefault="00770482">
      <w:r>
        <w:t>2.</w:t>
      </w:r>
      <w:r>
        <w:tab/>
        <w:t xml:space="preserve">Materijalni rashodi provedbe programa </w:t>
      </w:r>
    </w:p>
    <w:p w:rsidR="009520A9" w:rsidRDefault="00770482">
      <w:r>
        <w:t xml:space="preserve">Izračun financijskog plana: </w:t>
      </w:r>
    </w:p>
    <w:p w:rsidR="009520A9" w:rsidRDefault="00770482">
      <w:r>
        <w:t>Planirana sredstva za 2024. godinu</w:t>
      </w:r>
      <w:r>
        <w:t xml:space="preserve"> povećana su u odnosu na  financijski plan 2023. godine. Naime, za 2024. planira se povećanje iznosa naknada stipendistima u oba programa uslijed porasta životnih troškova uz istovremeno višegodišnju stagnaciju iznosa naknada stipendistima. Dodatan važan r</w:t>
      </w:r>
      <w:r>
        <w:t>azlog za povećanje mjesečnih stipendija jest činjenica da je visina trenutnih mjesečnih stipendija niža od zakonskog minimuma mjesečno osiguranih sredstava za uzdržavanje što je uvjet regulacije boravka stranih državljana pri MUP-u. I na ostalim se stavkam</w:t>
      </w:r>
      <w:r>
        <w:t>a planiraju povećanja kako slijedi. Većina sredstava za 2024. planirana je na stavci Naknade građanima i kućanstvima u novcu (542.000 EUR) - za mjesečne stipendije dolaznim studentima i nastavnicima u programima CEEPUS (cca 230.000 EUR) i Bilateralnom prog</w:t>
      </w:r>
      <w:r>
        <w:t>ramu (cca 140.000 EUR), smještaj dolaznih CEEPUS sudionika mobilnosti (cca 60.000 EUR), troškove obveznog zdravstvenog osiguranja dolaznim sudionicima mobilnosti u Bilateralnom programu (5.000 EUR), putne troškove odlaznih sudionika mobilnosti za CEEPUS (c</w:t>
      </w:r>
      <w:r>
        <w:t>ca 50.000 EUR) i Bilateralu (45.000 EUR). Sredstva planirana za službena putovanja uslijed porasta putnih troškova također su podignuta te iznose 4.800 EUR. Na stavci intelektualne i osobne usluge planirana su sredstva u iznosu od 5.840 EUR (CEEPUS 5.000 E</w:t>
      </w:r>
      <w:r>
        <w:t>UR i Bilaterala 840 EUR). Planiraju se sredstva za reprezentaciju u iznosu 214 EUR. Sva sredstva su potrebna za kontinuirano provođenje i koordinaciju aktivnosti u 2024. godini.</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w:t>
            </w:r>
            <w:r>
              <w:rPr>
                <w:rFonts w:cs="Times New Roman"/>
              </w:rPr>
              <w:t>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korisnika dolaznih i odlaznih stipendija</w:t>
            </w:r>
          </w:p>
        </w:tc>
        <w:tc>
          <w:tcPr>
            <w:tcW w:w="2245" w:type="dxa"/>
            <w:vAlign w:val="top"/>
          </w:tcPr>
          <w:p w:rsidR="009520A9" w:rsidRDefault="00770482">
            <w:pPr>
              <w:pStyle w:val="CellColumn"/>
              <w:jc w:val="left"/>
            </w:pPr>
            <w:r>
              <w:rPr>
                <w:rFonts w:cs="Times New Roman"/>
              </w:rPr>
              <w:t>Bilateralnim sporazumima je određen broj stipendija za pojedinu zemlju za određene kategorije. (npr. Jezični tečaj, djelomični studij, istraživački i li predavački boravak) U CEEPUS programu RH osigurava godišnje 500 mjeseci stipendija</w:t>
            </w:r>
          </w:p>
        </w:tc>
        <w:tc>
          <w:tcPr>
            <w:tcW w:w="918" w:type="dxa"/>
          </w:tcPr>
          <w:p w:rsidR="009520A9" w:rsidRDefault="00770482">
            <w:pPr>
              <w:jc w:val="center"/>
            </w:pPr>
            <w:r>
              <w:t>Broj</w:t>
            </w:r>
          </w:p>
        </w:tc>
        <w:tc>
          <w:tcPr>
            <w:tcW w:w="918" w:type="dxa"/>
          </w:tcPr>
          <w:p w:rsidR="009520A9" w:rsidRDefault="00770482">
            <w:pPr>
              <w:jc w:val="center"/>
            </w:pPr>
            <w:r>
              <w:t>1.000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1.0</w:t>
            </w:r>
            <w:r>
              <w:t>80</w:t>
            </w:r>
          </w:p>
        </w:tc>
        <w:tc>
          <w:tcPr>
            <w:tcW w:w="918" w:type="dxa"/>
          </w:tcPr>
          <w:p w:rsidR="009520A9" w:rsidRDefault="00770482">
            <w:pPr>
              <w:jc w:val="center"/>
            </w:pPr>
            <w:r>
              <w:t>1.130</w:t>
            </w:r>
          </w:p>
        </w:tc>
        <w:tc>
          <w:tcPr>
            <w:tcW w:w="918" w:type="dxa"/>
          </w:tcPr>
          <w:p w:rsidR="009520A9" w:rsidRDefault="00770482">
            <w:pPr>
              <w:jc w:val="center"/>
            </w:pPr>
            <w:r>
              <w:t>1.150</w:t>
            </w:r>
          </w:p>
        </w:tc>
      </w:tr>
    </w:tbl>
    <w:p w:rsidR="009520A9" w:rsidRDefault="009520A9">
      <w:pPr>
        <w:jc w:val="left"/>
      </w:pPr>
    </w:p>
    <w:p w:rsidR="009520A9" w:rsidRDefault="00770482">
      <w:pPr>
        <w:pStyle w:val="Heading4"/>
      </w:pPr>
      <w:r>
        <w:t>A818042 OBZOR EUROPA I MOBILNOST ISTRAŽIVAČA</w:t>
      </w:r>
    </w:p>
    <w:p w:rsidR="009520A9" w:rsidRDefault="00770482">
      <w:pPr>
        <w:pStyle w:val="Heading8"/>
        <w:jc w:val="left"/>
      </w:pPr>
      <w:r>
        <w:t>Zakonske i druge pravne osnove</w:t>
      </w:r>
    </w:p>
    <w:p w:rsidR="009520A9" w:rsidRDefault="00770482">
      <w:r>
        <w:t>Zakon o Agenciji za mobilnost i programe EU, Uredba (EU) 2021/695 Europskog parlamenta i Vijeća od 28. travnja 2021. o uspostavi Okvirnog programa za istraživanja i inovacije Obzor Europa, o utvrđivanju pravila za sudjelovanje i širenje rezultata te o stav</w:t>
      </w:r>
      <w:r>
        <w:t>ljanju izvan snage uredbi (EU) br. 1290/2013 i (EU) br. 1291/2013 , Odluka MZO-a o imenovanju nacionalnih osoba za kontakt za program Europske unije Obzor Europa.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A818042</w:t>
            </w:r>
          </w:p>
        </w:tc>
        <w:tc>
          <w:tcPr>
            <w:tcW w:w="1632" w:type="dxa"/>
            <w:vAlign w:val="top"/>
          </w:tcPr>
          <w:p w:rsidR="009520A9" w:rsidRDefault="00770482">
            <w:pPr>
              <w:jc w:val="right"/>
            </w:pPr>
            <w:r>
              <w:t>29.184</w:t>
            </w:r>
          </w:p>
        </w:tc>
        <w:tc>
          <w:tcPr>
            <w:tcW w:w="1632" w:type="dxa"/>
            <w:vAlign w:val="top"/>
          </w:tcPr>
          <w:p w:rsidR="009520A9" w:rsidRDefault="00770482">
            <w:pPr>
              <w:jc w:val="right"/>
            </w:pPr>
            <w:r>
              <w:t>38.190</w:t>
            </w:r>
          </w:p>
        </w:tc>
        <w:tc>
          <w:tcPr>
            <w:tcW w:w="1632" w:type="dxa"/>
            <w:vAlign w:val="top"/>
          </w:tcPr>
          <w:p w:rsidR="009520A9" w:rsidRDefault="00770482">
            <w:pPr>
              <w:jc w:val="right"/>
            </w:pPr>
            <w:r>
              <w:t>85.534</w:t>
            </w:r>
          </w:p>
        </w:tc>
        <w:tc>
          <w:tcPr>
            <w:tcW w:w="1632" w:type="dxa"/>
            <w:vAlign w:val="top"/>
          </w:tcPr>
          <w:p w:rsidR="009520A9" w:rsidRDefault="00770482">
            <w:pPr>
              <w:jc w:val="right"/>
            </w:pPr>
            <w:r>
              <w:t>85.534</w:t>
            </w:r>
          </w:p>
        </w:tc>
        <w:tc>
          <w:tcPr>
            <w:tcW w:w="1632" w:type="dxa"/>
            <w:vAlign w:val="top"/>
          </w:tcPr>
          <w:p w:rsidR="009520A9" w:rsidRDefault="00770482">
            <w:pPr>
              <w:jc w:val="right"/>
            </w:pPr>
            <w:r>
              <w:t>85.534</w:t>
            </w:r>
          </w:p>
        </w:tc>
        <w:tc>
          <w:tcPr>
            <w:tcW w:w="510" w:type="dxa"/>
            <w:vAlign w:val="top"/>
          </w:tcPr>
          <w:p w:rsidR="009520A9" w:rsidRDefault="00770482">
            <w:pPr>
              <w:jc w:val="right"/>
            </w:pPr>
            <w:r>
              <w:t>224,0</w:t>
            </w:r>
          </w:p>
        </w:tc>
      </w:tr>
    </w:tbl>
    <w:p w:rsidR="009520A9" w:rsidRDefault="009520A9">
      <w:pPr>
        <w:jc w:val="left"/>
      </w:pPr>
    </w:p>
    <w:p w:rsidR="009520A9" w:rsidRDefault="00770482">
      <w:r>
        <w:t xml:space="preserve">U razdoblju 2024. – 2026. očekuje se ostvarenje sljedećeg: </w:t>
      </w:r>
    </w:p>
    <w:p w:rsidR="009520A9" w:rsidRDefault="00770482">
      <w:r>
        <w:t>Obzor Europa (Horizon Europe) okvirni je program Europske unije za istraživanje i inovacije za razdoblje od 2021. do 2027. godine. Obzor Europa jedan je od ključnih instrumenata Unije za jačanje europskog istraživačkog prostora, osnaživanje europske konkur</w:t>
      </w:r>
      <w:r>
        <w:t xml:space="preserve">entnosti, usmjeravanje i ubrzavanje digitalne i zelene tranzicije, europskog oporavka, pripravnosti i otpornosti.  </w:t>
      </w:r>
    </w:p>
    <w:p w:rsidR="009520A9" w:rsidRDefault="00770482">
      <w:r>
        <w:t>EURAXESS je program Europske komisije namijenjen povećavanju i olakšavanju mobilnosti istraživača i znanstvenika. Glavni je zadatak ovog pro</w:t>
      </w:r>
      <w:r>
        <w:t>grama pomagati stranim istraživačima, znanstvenicima i znanstvenim organizacijama koje ugošćuju strane istraživače prilikom dolaska u Hrvatsku na rad na znanstvenim projektima. Osim stranim istraživačima, ovaj program pomaže i hrvatskim istraživačima da do</w:t>
      </w:r>
      <w:r>
        <w:t xml:space="preserve">biju više informacija o realizaciji istraživačkog rada u inozemstvu, međunarodne suradnje i financijskih pomoći/grantova/stipendija.  </w:t>
      </w:r>
    </w:p>
    <w:p w:rsidR="009520A9" w:rsidRDefault="00770482">
      <w:r>
        <w:t xml:space="preserve">Ova aktivnost sastoji se od sljedećih elemenata: </w:t>
      </w:r>
    </w:p>
    <w:p w:rsidR="009520A9" w:rsidRDefault="00770482">
      <w:r>
        <w:t>1.</w:t>
      </w:r>
      <w:r>
        <w:tab/>
        <w:t xml:space="preserve">Rashodi za zaposlene </w:t>
      </w:r>
    </w:p>
    <w:p w:rsidR="009520A9" w:rsidRDefault="00770482">
      <w:r>
        <w:t>2.</w:t>
      </w:r>
      <w:r>
        <w:tab/>
        <w:t xml:space="preserve">Materijalni rashodi provedbe programa </w:t>
      </w:r>
    </w:p>
    <w:p w:rsidR="009520A9" w:rsidRDefault="00770482">
      <w:r>
        <w:t>Izra</w:t>
      </w:r>
      <w:r>
        <w:t xml:space="preserve">čun financijskog plana: </w:t>
      </w:r>
    </w:p>
    <w:p w:rsidR="009520A9" w:rsidRDefault="00770482">
      <w:r>
        <w:t>Plan proračuna za 2024. godinu povećan je u odnosu na tekući financijskog plana za 2023. godinu i to najviše na stavci službenih putovanja s obzirom na znatan porast troškova zrakoplovnih karata i smještaja u odnosu na razdoblje pr</w:t>
      </w:r>
      <w:r>
        <w:t xml:space="preserve">ije pandemije. </w:t>
      </w:r>
    </w:p>
    <w:p w:rsidR="009520A9" w:rsidRDefault="00770482">
      <w:r>
        <w:t>U planu proračuna za 2024. godinu za redovne aktivnosti na stavci službena putovanja planirano je 74.040 EUR. vezana za događanja koja organizira Europska komisija (sastanci nacionalnih osoba za kontakt te programskih odbora za pojedina tem</w:t>
      </w:r>
      <w:r>
        <w:t>atska područja Obzora Europa) i to za informativne dane za pojedina programska područja u programu Obzor Europa, te EURAXESS programa, radionica, konferencija i obuke. Planirano je ukupno 19 putovanja u trajanju od dva do tri dana. Planirana sredstva za st</w:t>
      </w:r>
      <w:r>
        <w:t>ručna usavršavanja u iznosu od 3.584 EUR. Planira se održati 13 informativnih događanja koja će se dogovarati tijekom godine u suradnji s MZO. Ukupni troškovi za reprezentaciju planirani su u iznosu od 2.721 EUR, najam prostora za pojedina događanja koja s</w:t>
      </w:r>
      <w:r>
        <w:t>e neće moći odvijati u besplatnim prostorima u iznosu od 2.300 EUR.</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sudjelovanja na planiranim događanjima</w:t>
            </w:r>
          </w:p>
        </w:tc>
        <w:tc>
          <w:tcPr>
            <w:tcW w:w="2245" w:type="dxa"/>
            <w:vAlign w:val="top"/>
          </w:tcPr>
          <w:p w:rsidR="009520A9" w:rsidRDefault="00770482">
            <w:pPr>
              <w:pStyle w:val="CellColumn"/>
              <w:jc w:val="left"/>
            </w:pPr>
            <w:r>
              <w:rPr>
                <w:rFonts w:cs="Times New Roman"/>
              </w:rPr>
              <w:t>Sudjelovanje na NCP redovnim sastancima u organizaciji Europske komisije (EK), na sastancima članova programskih odbora u organizaciji (EK), na sastancima radnih skupina EK (eCORDA, MGA expert group, EURAXESS rad</w:t>
            </w:r>
            <w:r>
              <w:rPr>
                <w:rFonts w:cs="Times New Roman"/>
              </w:rPr>
              <w:t>na skupina), informativnim danima EK i sastancima EURAXES krovnih organizacija</w:t>
            </w:r>
          </w:p>
        </w:tc>
        <w:tc>
          <w:tcPr>
            <w:tcW w:w="918" w:type="dxa"/>
          </w:tcPr>
          <w:p w:rsidR="009520A9" w:rsidRDefault="00770482">
            <w:pPr>
              <w:jc w:val="center"/>
            </w:pPr>
            <w:r>
              <w:t>Broj</w:t>
            </w:r>
          </w:p>
        </w:tc>
        <w:tc>
          <w:tcPr>
            <w:tcW w:w="918" w:type="dxa"/>
          </w:tcPr>
          <w:p w:rsidR="009520A9" w:rsidRDefault="00770482">
            <w:pPr>
              <w:jc w:val="center"/>
            </w:pPr>
            <w:r>
              <w:t>140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140</w:t>
            </w:r>
          </w:p>
        </w:tc>
        <w:tc>
          <w:tcPr>
            <w:tcW w:w="918" w:type="dxa"/>
          </w:tcPr>
          <w:p w:rsidR="009520A9" w:rsidRDefault="00770482">
            <w:pPr>
              <w:jc w:val="center"/>
            </w:pPr>
            <w:r>
              <w:t>140</w:t>
            </w:r>
          </w:p>
        </w:tc>
        <w:tc>
          <w:tcPr>
            <w:tcW w:w="918" w:type="dxa"/>
          </w:tcPr>
          <w:p w:rsidR="009520A9" w:rsidRDefault="00770482">
            <w:pPr>
              <w:jc w:val="center"/>
            </w:pPr>
            <w:r>
              <w:t>140</w:t>
            </w:r>
          </w:p>
        </w:tc>
      </w:tr>
      <w:tr w:rsidR="009520A9">
        <w:trPr>
          <w:jc w:val="center"/>
        </w:trPr>
        <w:tc>
          <w:tcPr>
            <w:tcW w:w="2245" w:type="dxa"/>
            <w:vAlign w:val="top"/>
          </w:tcPr>
          <w:p w:rsidR="009520A9" w:rsidRDefault="00770482">
            <w:pPr>
              <w:pStyle w:val="CellColumn"/>
              <w:jc w:val="left"/>
            </w:pPr>
            <w:r>
              <w:rPr>
                <w:rFonts w:cs="Times New Roman"/>
              </w:rPr>
              <w:t>Broj održanih informativnih dana, radionica, obuka i konferencija</w:t>
            </w:r>
          </w:p>
        </w:tc>
        <w:tc>
          <w:tcPr>
            <w:tcW w:w="2245" w:type="dxa"/>
            <w:vAlign w:val="top"/>
          </w:tcPr>
          <w:p w:rsidR="009520A9" w:rsidRDefault="00770482">
            <w:pPr>
              <w:pStyle w:val="CellColumn"/>
              <w:jc w:val="left"/>
            </w:pPr>
            <w:r>
              <w:rPr>
                <w:rFonts w:cs="Times New Roman"/>
              </w:rPr>
              <w:t>Održavanje informativnih dana, radionica i/ili konferencija vezanih za program Obzor Europa i mobilnost istraživača.</w:t>
            </w:r>
          </w:p>
        </w:tc>
        <w:tc>
          <w:tcPr>
            <w:tcW w:w="918" w:type="dxa"/>
          </w:tcPr>
          <w:p w:rsidR="009520A9" w:rsidRDefault="00770482">
            <w:pPr>
              <w:jc w:val="center"/>
            </w:pPr>
            <w:r>
              <w:t>Broj</w:t>
            </w:r>
          </w:p>
        </w:tc>
        <w:tc>
          <w:tcPr>
            <w:tcW w:w="918" w:type="dxa"/>
          </w:tcPr>
          <w:p w:rsidR="009520A9" w:rsidRDefault="00770482">
            <w:pPr>
              <w:jc w:val="center"/>
            </w:pPr>
            <w:r>
              <w:t>13</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13</w:t>
            </w:r>
          </w:p>
        </w:tc>
        <w:tc>
          <w:tcPr>
            <w:tcW w:w="918" w:type="dxa"/>
          </w:tcPr>
          <w:p w:rsidR="009520A9" w:rsidRDefault="00770482">
            <w:pPr>
              <w:jc w:val="center"/>
            </w:pPr>
            <w:r>
              <w:t>13</w:t>
            </w:r>
          </w:p>
        </w:tc>
        <w:tc>
          <w:tcPr>
            <w:tcW w:w="918" w:type="dxa"/>
          </w:tcPr>
          <w:p w:rsidR="009520A9" w:rsidRDefault="00770482">
            <w:pPr>
              <w:jc w:val="center"/>
            </w:pPr>
            <w:r>
              <w:t>13</w:t>
            </w:r>
          </w:p>
        </w:tc>
      </w:tr>
    </w:tbl>
    <w:p w:rsidR="009520A9" w:rsidRDefault="009520A9">
      <w:pPr>
        <w:jc w:val="left"/>
      </w:pPr>
    </w:p>
    <w:p w:rsidR="009520A9" w:rsidRDefault="00770482">
      <w:pPr>
        <w:pStyle w:val="Heading4"/>
      </w:pPr>
      <w:r>
        <w:t>A818043 ERASMUS PLUS PROVEDBA PROGRAMA OD 2014. DO 2020.</w:t>
      </w:r>
    </w:p>
    <w:p w:rsidR="009520A9" w:rsidRDefault="00770482">
      <w:pPr>
        <w:pStyle w:val="Heading8"/>
        <w:jc w:val="left"/>
      </w:pPr>
      <w:r>
        <w:t>Zakonske i druge pravne osnove</w:t>
      </w:r>
    </w:p>
    <w:p w:rsidR="009520A9" w:rsidRDefault="00770482">
      <w:r>
        <w:t>Zakon o Agenciji za mobiln</w:t>
      </w:r>
      <w:r>
        <w:t>ost i programe EU, Ugovori s Europskom komisijom o provedbi programa i projekata; Uredba (EU) 2021/817 Europskog parlamenta i Vijeća od 20. svibnja 2021. o uspostavi programa Unije za obrazovanje i osposobljavanje, mlade i sport Erasmus+ te o stavljanju iz</w:t>
      </w:r>
      <w:r>
        <w:t>van snage Uredbe (EU) br. 1288/2013.</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A818043</w:t>
            </w:r>
          </w:p>
        </w:tc>
        <w:tc>
          <w:tcPr>
            <w:tcW w:w="1632" w:type="dxa"/>
            <w:vAlign w:val="top"/>
          </w:tcPr>
          <w:p w:rsidR="009520A9" w:rsidRDefault="00770482">
            <w:pPr>
              <w:jc w:val="right"/>
            </w:pPr>
            <w:r>
              <w:t>3.274.745</w:t>
            </w:r>
          </w:p>
        </w:tc>
        <w:tc>
          <w:tcPr>
            <w:tcW w:w="1632" w:type="dxa"/>
            <w:vAlign w:val="top"/>
          </w:tcPr>
          <w:p w:rsidR="009520A9" w:rsidRDefault="00770482">
            <w:pPr>
              <w:jc w:val="right"/>
            </w:pPr>
            <w:r>
              <w:t>4.075.481</w:t>
            </w:r>
          </w:p>
        </w:tc>
        <w:tc>
          <w:tcPr>
            <w:tcW w:w="1632" w:type="dxa"/>
            <w:vAlign w:val="top"/>
          </w:tcPr>
          <w:p w:rsidR="009520A9" w:rsidRDefault="00770482">
            <w:pPr>
              <w:jc w:val="right"/>
            </w:pPr>
            <w:r>
              <w:t>3.947.642</w:t>
            </w:r>
          </w:p>
        </w:tc>
        <w:tc>
          <w:tcPr>
            <w:tcW w:w="1632" w:type="dxa"/>
            <w:vAlign w:val="top"/>
          </w:tcPr>
          <w:p w:rsidR="009520A9" w:rsidRDefault="00770482">
            <w:pPr>
              <w:jc w:val="right"/>
            </w:pPr>
            <w:r>
              <w:t>3.984.593</w:t>
            </w:r>
          </w:p>
        </w:tc>
        <w:tc>
          <w:tcPr>
            <w:tcW w:w="1632" w:type="dxa"/>
            <w:vAlign w:val="top"/>
          </w:tcPr>
          <w:p w:rsidR="009520A9" w:rsidRDefault="00770482">
            <w:pPr>
              <w:jc w:val="right"/>
            </w:pPr>
            <w:r>
              <w:t>3.980.718</w:t>
            </w:r>
          </w:p>
        </w:tc>
        <w:tc>
          <w:tcPr>
            <w:tcW w:w="510" w:type="dxa"/>
            <w:vAlign w:val="top"/>
          </w:tcPr>
          <w:p w:rsidR="009520A9" w:rsidRDefault="00770482">
            <w:pPr>
              <w:jc w:val="right"/>
            </w:pPr>
            <w:r>
              <w:t>96,9</w:t>
            </w:r>
          </w:p>
        </w:tc>
      </w:tr>
    </w:tbl>
    <w:p w:rsidR="009520A9" w:rsidRDefault="009520A9">
      <w:pPr>
        <w:jc w:val="left"/>
      </w:pPr>
    </w:p>
    <w:p w:rsidR="009520A9" w:rsidRDefault="00770482">
      <w:r>
        <w:t xml:space="preserve">Ova aktivnost provodi se svake godine i vezana je uz provedbu EU programa Erasmus+ na nacionalnoj razini. </w:t>
      </w:r>
    </w:p>
    <w:p w:rsidR="009520A9" w:rsidRDefault="00770482">
      <w:r>
        <w:t xml:space="preserve">Ova aktivnost sastoji se od sljedećih elemenata: </w:t>
      </w:r>
    </w:p>
    <w:p w:rsidR="009520A9" w:rsidRDefault="00770482">
      <w:r>
        <w:t>1.</w:t>
      </w:r>
      <w:r>
        <w:tab/>
        <w:t xml:space="preserve">Rashodi za zaposlene </w:t>
      </w:r>
    </w:p>
    <w:p w:rsidR="009520A9" w:rsidRDefault="00770482">
      <w:r>
        <w:t>2.</w:t>
      </w:r>
      <w:r>
        <w:tab/>
        <w:t xml:space="preserve">Materijalni rashodi provedbe programa Erasmus+ u RH </w:t>
      </w:r>
    </w:p>
    <w:p w:rsidR="009520A9" w:rsidRDefault="00770482">
      <w:r>
        <w:t>3.</w:t>
      </w:r>
      <w:r>
        <w:tab/>
        <w:t>Financijski ras</w:t>
      </w:r>
      <w:r>
        <w:t xml:space="preserve">hodi </w:t>
      </w:r>
    </w:p>
    <w:p w:rsidR="009520A9" w:rsidRDefault="00770482">
      <w:r>
        <w:t>4.</w:t>
      </w:r>
      <w:r>
        <w:tab/>
        <w:t xml:space="preserve">Naknada građanima i kućanstvima na temelju osiguranja i druge naknade </w:t>
      </w:r>
    </w:p>
    <w:p w:rsidR="009520A9" w:rsidRDefault="00770482">
      <w:r>
        <w:t>5.</w:t>
      </w:r>
      <w:r>
        <w:tab/>
        <w:t xml:space="preserve">Rashodi za nabavu nefinancijske imovine </w:t>
      </w:r>
    </w:p>
    <w:p w:rsidR="009520A9" w:rsidRDefault="00770482">
      <w:r>
        <w:t xml:space="preserve">Izračun financijskog plana: </w:t>
      </w:r>
    </w:p>
    <w:p w:rsidR="009520A9" w:rsidRDefault="00770482">
      <w:r>
        <w:t>Na izvoru 12 planirano je povećanje u manjoj mjeri na dijelu rashoda za zaposlene sukladno povećanju os</w:t>
      </w:r>
      <w:r>
        <w:t xml:space="preserve">novice za izračun plaća u javnoj službi u odnosu na tekući financijski plan. </w:t>
      </w:r>
    </w:p>
    <w:p w:rsidR="009520A9" w:rsidRDefault="00770482">
      <w:r>
        <w:t>Planirana sredstva u prijedlogu financijskog plana za 2024. godinu iznose 2.100.713 EUR na izvoru 51 i 1.846.930 EUR na izvoru 12. Povećanje imamo na stavci materijalnih prava za</w:t>
      </w:r>
      <w:r>
        <w:t>poslenika s obzirom da su troškovi regresa i božićnice znatno veći u odnosu na prethodne godine. Troškovi su planirani najvećim dijelom na materijalnim rashodima, na stavkama za službena putovanja i energiju s obzirom na tržišne promjene cijena i organizac</w:t>
      </w:r>
      <w:r>
        <w:t xml:space="preserve">iju fizičkih događanja u odnosu na prethodne godine.  </w:t>
      </w:r>
    </w:p>
    <w:p w:rsidR="009520A9" w:rsidRDefault="00770482">
      <w:r>
        <w:t xml:space="preserve">Za stručna usavršavanja zaposlenika planirano je ukupno 56.500 EUR na izvorima 12 i 51. </w:t>
      </w:r>
    </w:p>
    <w:p w:rsidR="009520A9" w:rsidRDefault="00770482">
      <w:r>
        <w:t>Sve aktivnosti vezane za provedbu programa Erasmus + evidentirane su u godišnjem Programu rada (od izrade promot</w:t>
      </w:r>
      <w:r>
        <w:t xml:space="preserve">ivnih i informativnih materijala do broja događanja u svrhu promocije i edukacije) kojeg odobrava Komisija. </w:t>
      </w:r>
    </w:p>
    <w:p w:rsidR="009520A9" w:rsidRDefault="00770482">
      <w:r>
        <w:t>Za usluge promidžbe i informiranja planirano je ukupno 72.000 EUR, oglasne kampanje na društvenim mrežama; medijske kampanje - zakup medijskog pros</w:t>
      </w:r>
      <w:r>
        <w:t xml:space="preserve">tora za oglašavanje; izrada promotivnog materijala; usluge istraživanja tržišta i praćenja medijskih objava.  </w:t>
      </w:r>
    </w:p>
    <w:p w:rsidR="009520A9" w:rsidRDefault="00770482">
      <w:r>
        <w:t>Za sve ostale usluge dizajna i tiska, redizajn vizuala i vizualnog identiteta programa (Erasmus+), dizajn info i promo materijala te tisak info m</w:t>
      </w:r>
      <w:r>
        <w:t xml:space="preserve">aterijala  i drugih nespomenutih usluga planirano je – 72.000 EUR. </w:t>
      </w:r>
    </w:p>
    <w:p w:rsidR="009520A9" w:rsidRDefault="00770482">
      <w:r>
        <w:t>Osigurana su sredstva za naknade za angažman vanjskih ocjenjivača, visina naknade ovisi o programskoj aktivnosti za koju je podnesena projektna prijava. Broj prijava procijenjen je u odnos</w:t>
      </w:r>
      <w:r>
        <w:t xml:space="preserve">u na trendove u broju projektnih prijava na prošlim natječajnim godinama.  </w:t>
      </w:r>
    </w:p>
    <w:p w:rsidR="009520A9" w:rsidRDefault="00770482">
      <w:r>
        <w:t>Na stavci službena putovanja na izvoru 51 i 12 u narednom razdoblju iskazujemo veće potrebe u odnosu na prethodne godine kada je epidemija Covid-19 onemogućila i znatno umanjila pu</w:t>
      </w:r>
      <w:r>
        <w:t>tovanja i fizička događanja. Osim navedenog u odnosu na razdoblje 2019. i ranijih godina, visina cijena avio karata i cijena drugih načina prijevoza je znatno povećana. Stoga cijene službenih putovanja variraju ovisno je li riječ o tuzemnom ili inozemnom p</w:t>
      </w:r>
      <w:r>
        <w:t xml:space="preserve">utovanju, većina inozemnih putovanja podrazumijeva odlazak na službene sastanke Komisije dok se tuzemna odnose na odlaske u revizije/nadzore korisnicima Programa.  </w:t>
      </w:r>
    </w:p>
    <w:p w:rsidR="009520A9" w:rsidRDefault="00770482">
      <w:r>
        <w:t>Trošak najamnine i zakupnine sveukupno je planiran na izvorima 12 i 51 te djelomično na dru</w:t>
      </w:r>
      <w:r>
        <w:t xml:space="preserve">gim aktivnostima. Dio će se utrošiti na najam poslovnog prostora, za čije je potrebe najveći dio sredstava planiran na redovnoj aktivnosti A589088, ostali iznos namijenjen je za najmove prostora i opreme za info dane i radionice. Na istoj stavci planirane </w:t>
      </w:r>
      <w:r>
        <w:t xml:space="preserve">su i jednogodišnje licence kao i leasing za jedan službeni automobil. </w:t>
      </w:r>
    </w:p>
    <w:p w:rsidR="009520A9" w:rsidRDefault="00770482">
      <w:r>
        <w:t xml:space="preserve">Ukupni trošak za reprezentacije planiran je za hranu i piće na radionicama, seminarima te info danima za prijavitelje/korisnike programa Erasmus.  </w:t>
      </w:r>
    </w:p>
    <w:p w:rsidR="009520A9" w:rsidRDefault="00770482">
      <w:r>
        <w:t>Za ulaganje u računalne programe i tr</w:t>
      </w:r>
      <w:r>
        <w:t>ošak računalnih usluga na izvoru 51 i 12 planiran je iznos od 71.500 EUR za unaprjeđenje postojećih sustava te daljnju digitalizaciju poslovanja Agencije.</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događanja</w:t>
            </w:r>
          </w:p>
        </w:tc>
        <w:tc>
          <w:tcPr>
            <w:tcW w:w="2245" w:type="dxa"/>
            <w:vAlign w:val="top"/>
          </w:tcPr>
          <w:p w:rsidR="009520A9" w:rsidRDefault="00770482">
            <w:pPr>
              <w:pStyle w:val="CellColumn"/>
              <w:jc w:val="left"/>
            </w:pPr>
            <w:r>
              <w:rPr>
                <w:rFonts w:cs="Times New Roman"/>
              </w:rPr>
              <w:t>Agencija program provodi organizacijom informativno-promotivnih i edukativnih događanja za prijavitelje, korisnike i dionike</w:t>
            </w:r>
          </w:p>
        </w:tc>
        <w:tc>
          <w:tcPr>
            <w:tcW w:w="918" w:type="dxa"/>
          </w:tcPr>
          <w:p w:rsidR="009520A9" w:rsidRDefault="00770482">
            <w:pPr>
              <w:jc w:val="center"/>
            </w:pPr>
            <w:r>
              <w:t>broj</w:t>
            </w:r>
          </w:p>
        </w:tc>
        <w:tc>
          <w:tcPr>
            <w:tcW w:w="918" w:type="dxa"/>
          </w:tcPr>
          <w:p w:rsidR="009520A9" w:rsidRDefault="00770482">
            <w:pPr>
              <w:jc w:val="center"/>
            </w:pPr>
            <w:r>
              <w:t>290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290</w:t>
            </w:r>
          </w:p>
        </w:tc>
        <w:tc>
          <w:tcPr>
            <w:tcW w:w="918" w:type="dxa"/>
          </w:tcPr>
          <w:p w:rsidR="009520A9" w:rsidRDefault="00770482">
            <w:pPr>
              <w:jc w:val="center"/>
            </w:pPr>
            <w:r>
              <w:t>290</w:t>
            </w:r>
          </w:p>
        </w:tc>
        <w:tc>
          <w:tcPr>
            <w:tcW w:w="918" w:type="dxa"/>
          </w:tcPr>
          <w:p w:rsidR="009520A9" w:rsidRDefault="00770482">
            <w:pPr>
              <w:jc w:val="center"/>
            </w:pPr>
            <w:r>
              <w:t>290</w:t>
            </w:r>
          </w:p>
        </w:tc>
      </w:tr>
      <w:tr w:rsidR="009520A9">
        <w:trPr>
          <w:jc w:val="center"/>
        </w:trPr>
        <w:tc>
          <w:tcPr>
            <w:tcW w:w="2245" w:type="dxa"/>
            <w:vAlign w:val="top"/>
          </w:tcPr>
          <w:p w:rsidR="009520A9" w:rsidRDefault="00770482">
            <w:pPr>
              <w:pStyle w:val="CellColumn"/>
              <w:jc w:val="left"/>
            </w:pPr>
            <w:r>
              <w:rPr>
                <w:rFonts w:cs="Times New Roman"/>
              </w:rPr>
              <w:t>Broj sudionika na događanjima</w:t>
            </w:r>
          </w:p>
        </w:tc>
        <w:tc>
          <w:tcPr>
            <w:tcW w:w="2245" w:type="dxa"/>
            <w:vAlign w:val="top"/>
          </w:tcPr>
          <w:p w:rsidR="009520A9" w:rsidRDefault="00770482">
            <w:pPr>
              <w:pStyle w:val="CellColumn"/>
              <w:jc w:val="left"/>
            </w:pPr>
            <w:r>
              <w:rPr>
                <w:rFonts w:cs="Times New Roman"/>
              </w:rPr>
              <w:t>Procijenjeni broj sudionika na događanjima u organizaciji Agencije i gostovanjima</w:t>
            </w:r>
          </w:p>
        </w:tc>
        <w:tc>
          <w:tcPr>
            <w:tcW w:w="918" w:type="dxa"/>
          </w:tcPr>
          <w:p w:rsidR="009520A9" w:rsidRDefault="00770482">
            <w:pPr>
              <w:jc w:val="center"/>
            </w:pPr>
            <w:r>
              <w:t>broj</w:t>
            </w:r>
          </w:p>
        </w:tc>
        <w:tc>
          <w:tcPr>
            <w:tcW w:w="918" w:type="dxa"/>
          </w:tcPr>
          <w:p w:rsidR="009520A9" w:rsidRDefault="00770482">
            <w:pPr>
              <w:jc w:val="center"/>
            </w:pPr>
            <w:r>
              <w:t>19.000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19.000</w:t>
            </w:r>
          </w:p>
        </w:tc>
        <w:tc>
          <w:tcPr>
            <w:tcW w:w="918" w:type="dxa"/>
          </w:tcPr>
          <w:p w:rsidR="009520A9" w:rsidRDefault="00770482">
            <w:pPr>
              <w:jc w:val="center"/>
            </w:pPr>
            <w:r>
              <w:t>19.000</w:t>
            </w:r>
          </w:p>
        </w:tc>
        <w:tc>
          <w:tcPr>
            <w:tcW w:w="918" w:type="dxa"/>
          </w:tcPr>
          <w:p w:rsidR="009520A9" w:rsidRDefault="00770482">
            <w:pPr>
              <w:jc w:val="center"/>
            </w:pPr>
            <w:r>
              <w:t>19.000</w:t>
            </w:r>
          </w:p>
        </w:tc>
      </w:tr>
      <w:tr w:rsidR="009520A9">
        <w:trPr>
          <w:jc w:val="center"/>
        </w:trPr>
        <w:tc>
          <w:tcPr>
            <w:tcW w:w="2245" w:type="dxa"/>
            <w:vAlign w:val="top"/>
          </w:tcPr>
          <w:p w:rsidR="009520A9" w:rsidRDefault="00770482">
            <w:pPr>
              <w:pStyle w:val="CellColumn"/>
              <w:jc w:val="left"/>
            </w:pPr>
            <w:r>
              <w:rPr>
                <w:rFonts w:cs="Times New Roman"/>
              </w:rPr>
              <w:t>Broj posjeta mrežnim stranicama</w:t>
            </w:r>
          </w:p>
        </w:tc>
        <w:tc>
          <w:tcPr>
            <w:tcW w:w="2245" w:type="dxa"/>
            <w:vAlign w:val="top"/>
          </w:tcPr>
          <w:p w:rsidR="009520A9" w:rsidRDefault="00770482">
            <w:pPr>
              <w:pStyle w:val="CellColumn"/>
              <w:jc w:val="left"/>
            </w:pPr>
            <w:r>
              <w:rPr>
                <w:rFonts w:cs="Times New Roman"/>
              </w:rPr>
              <w:t>Agencija održava niz mrežnih stranica kojima se promiču mogućnosti programa Erasmus+</w:t>
            </w:r>
          </w:p>
        </w:tc>
        <w:tc>
          <w:tcPr>
            <w:tcW w:w="918" w:type="dxa"/>
          </w:tcPr>
          <w:p w:rsidR="009520A9" w:rsidRDefault="00770482">
            <w:pPr>
              <w:jc w:val="center"/>
            </w:pPr>
            <w:r>
              <w:t>broj</w:t>
            </w:r>
          </w:p>
        </w:tc>
        <w:tc>
          <w:tcPr>
            <w:tcW w:w="918" w:type="dxa"/>
          </w:tcPr>
          <w:p w:rsidR="009520A9" w:rsidRDefault="00770482">
            <w:pPr>
              <w:jc w:val="center"/>
            </w:pPr>
            <w:r>
              <w:t>900.000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905.000</w:t>
            </w:r>
          </w:p>
        </w:tc>
        <w:tc>
          <w:tcPr>
            <w:tcW w:w="918" w:type="dxa"/>
          </w:tcPr>
          <w:p w:rsidR="009520A9" w:rsidRDefault="00770482">
            <w:pPr>
              <w:jc w:val="center"/>
            </w:pPr>
            <w:r>
              <w:t>905.000</w:t>
            </w:r>
          </w:p>
        </w:tc>
        <w:tc>
          <w:tcPr>
            <w:tcW w:w="918" w:type="dxa"/>
          </w:tcPr>
          <w:p w:rsidR="009520A9" w:rsidRDefault="00770482">
            <w:pPr>
              <w:jc w:val="center"/>
            </w:pPr>
            <w:r>
              <w:t>915.000</w:t>
            </w:r>
          </w:p>
        </w:tc>
      </w:tr>
      <w:tr w:rsidR="009520A9">
        <w:trPr>
          <w:jc w:val="center"/>
        </w:trPr>
        <w:tc>
          <w:tcPr>
            <w:tcW w:w="2245" w:type="dxa"/>
            <w:vAlign w:val="top"/>
          </w:tcPr>
          <w:p w:rsidR="009520A9" w:rsidRDefault="00770482">
            <w:pPr>
              <w:pStyle w:val="CellColumn"/>
              <w:jc w:val="left"/>
            </w:pPr>
            <w:r>
              <w:rPr>
                <w:rFonts w:cs="Times New Roman"/>
              </w:rPr>
              <w:t>Broj korisnika na društvenim mrežama</w:t>
            </w:r>
          </w:p>
        </w:tc>
        <w:tc>
          <w:tcPr>
            <w:tcW w:w="2245" w:type="dxa"/>
            <w:vAlign w:val="top"/>
          </w:tcPr>
          <w:p w:rsidR="009520A9" w:rsidRDefault="00770482">
            <w:pPr>
              <w:pStyle w:val="CellColumn"/>
              <w:jc w:val="left"/>
            </w:pPr>
            <w:r>
              <w:rPr>
                <w:rFonts w:cs="Times New Roman"/>
              </w:rPr>
              <w:t>Agencija održava niz stranica na društvenim mrežama radi promocije programa Erasmus+</w:t>
            </w:r>
          </w:p>
        </w:tc>
        <w:tc>
          <w:tcPr>
            <w:tcW w:w="918" w:type="dxa"/>
          </w:tcPr>
          <w:p w:rsidR="009520A9" w:rsidRDefault="00770482">
            <w:pPr>
              <w:jc w:val="center"/>
            </w:pPr>
            <w:r>
              <w:t>broj</w:t>
            </w:r>
          </w:p>
        </w:tc>
        <w:tc>
          <w:tcPr>
            <w:tcW w:w="918" w:type="dxa"/>
          </w:tcPr>
          <w:p w:rsidR="009520A9" w:rsidRDefault="00770482">
            <w:pPr>
              <w:jc w:val="center"/>
            </w:pPr>
            <w:r>
              <w:t>37.000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38.000</w:t>
            </w:r>
          </w:p>
        </w:tc>
        <w:tc>
          <w:tcPr>
            <w:tcW w:w="918" w:type="dxa"/>
          </w:tcPr>
          <w:p w:rsidR="009520A9" w:rsidRDefault="00770482">
            <w:pPr>
              <w:jc w:val="center"/>
            </w:pPr>
            <w:r>
              <w:t>39.000</w:t>
            </w:r>
          </w:p>
        </w:tc>
        <w:tc>
          <w:tcPr>
            <w:tcW w:w="918" w:type="dxa"/>
          </w:tcPr>
          <w:p w:rsidR="009520A9" w:rsidRDefault="00770482">
            <w:pPr>
              <w:jc w:val="center"/>
            </w:pPr>
            <w:r>
              <w:t>40.000</w:t>
            </w:r>
          </w:p>
        </w:tc>
      </w:tr>
    </w:tbl>
    <w:p w:rsidR="009520A9" w:rsidRDefault="009520A9">
      <w:pPr>
        <w:jc w:val="left"/>
      </w:pPr>
    </w:p>
    <w:p w:rsidR="009520A9" w:rsidRDefault="00770482">
      <w:pPr>
        <w:pStyle w:val="Heading4"/>
      </w:pPr>
      <w:r>
        <w:t>A818044 ERASMUS PLUS – PROJEKTI ZA KORISNIKE OBRAZOVANJE OD 2014. DO 2020.</w:t>
      </w:r>
    </w:p>
    <w:p w:rsidR="009520A9" w:rsidRDefault="00770482">
      <w:pPr>
        <w:pStyle w:val="Heading8"/>
        <w:jc w:val="left"/>
      </w:pPr>
      <w:r>
        <w:t>Zakonske i druge pravne osnove</w:t>
      </w:r>
    </w:p>
    <w:p w:rsidR="009520A9" w:rsidRDefault="00770482">
      <w:r>
        <w:t>Zakon o Agenciji za mobilnost i programe EU, Ugovori s Europskom komisijom o provedbi programa i projekata; Uredba</w:t>
      </w:r>
      <w:r>
        <w:t xml:space="preserve"> (EU) br. 1288/2013 Europskog parlamenta i Vijeća od 11. prosinca 2013. o uspostavi programa „Erasmus+”: programa Unije za obrazovanje, osposobljavanje, mlade i sport i stavljanju izvan snage odluka br. 1719/2006/EZ, 1720/2006/EZ i 1298/2008/EZ.</w:t>
      </w:r>
    </w:p>
    <w:tbl>
      <w:tblPr>
        <w:tblStyle w:val="StilTablice"/>
        <w:tblW w:w="10206" w:type="dxa"/>
        <w:jc w:val="center"/>
        <w:tblLook w:val="04A0" w:firstRow="1" w:lastRow="0" w:firstColumn="1" w:lastColumn="0" w:noHBand="0" w:noVBand="1"/>
      </w:tblPr>
      <w:tblGrid>
        <w:gridCol w:w="1474"/>
        <w:gridCol w:w="1568"/>
        <w:gridCol w:w="1568"/>
        <w:gridCol w:w="1554"/>
        <w:gridCol w:w="1536"/>
        <w:gridCol w:w="1536"/>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A818044</w:t>
            </w:r>
          </w:p>
        </w:tc>
        <w:tc>
          <w:tcPr>
            <w:tcW w:w="1632" w:type="dxa"/>
            <w:vAlign w:val="top"/>
          </w:tcPr>
          <w:p w:rsidR="009520A9" w:rsidRDefault="00770482">
            <w:pPr>
              <w:jc w:val="right"/>
            </w:pPr>
            <w:r>
              <w:t>1.649.969</w:t>
            </w:r>
          </w:p>
        </w:tc>
        <w:tc>
          <w:tcPr>
            <w:tcW w:w="1632" w:type="dxa"/>
            <w:vAlign w:val="top"/>
          </w:tcPr>
          <w:p w:rsidR="009520A9" w:rsidRDefault="00770482">
            <w:pPr>
              <w:jc w:val="right"/>
            </w:pPr>
            <w:r>
              <w:t>3.542.492</w:t>
            </w:r>
          </w:p>
        </w:tc>
        <w:tc>
          <w:tcPr>
            <w:tcW w:w="1632" w:type="dxa"/>
            <w:vAlign w:val="top"/>
          </w:tcPr>
          <w:p w:rsidR="009520A9" w:rsidRDefault="00770482">
            <w:pPr>
              <w:jc w:val="right"/>
            </w:pPr>
            <w:r>
              <w:t>879.592</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510" w:type="dxa"/>
            <w:vAlign w:val="top"/>
          </w:tcPr>
          <w:p w:rsidR="009520A9" w:rsidRDefault="00770482">
            <w:pPr>
              <w:jc w:val="right"/>
            </w:pPr>
            <w:r>
              <w:t>24,8</w:t>
            </w:r>
          </w:p>
        </w:tc>
      </w:tr>
    </w:tbl>
    <w:p w:rsidR="009520A9" w:rsidRDefault="009520A9">
      <w:pPr>
        <w:jc w:val="left"/>
      </w:pPr>
    </w:p>
    <w:p w:rsidR="009520A9" w:rsidRDefault="00770482">
      <w:r>
        <w:t>Ova aktivnost započela je 2014. godine i provodi se svake godine do završetka svih potpisanih ugovora o dodjeli bespovratnih sredstava korisnicima te predaje finalnog izvješća Europskoj komisiji (očekivano 2024./2025.) u okviru programa Erasmus+ 2014.-2020</w:t>
      </w:r>
      <w:r>
        <w:t xml:space="preserve">. </w:t>
      </w:r>
    </w:p>
    <w:p w:rsidR="009520A9" w:rsidRDefault="00770482">
      <w:r>
        <w:t>S obzirom na to da je 2020. godine završilo programsko razdoblje, na ovoj aktivnosti je iskazano umanjenje u odnosu na tekući financijski plan sukladno očekivanoj realizaciji projekata. U projekcijama financijskog plana za 2025. i 2026. godini nije pred</w:t>
      </w:r>
      <w:r>
        <w:t xml:space="preserve">viđeno financiranje iz ove aktivnosti budući da će svi projekti završiti najkasnije u prvoj polovici 2024. godine.  </w:t>
      </w:r>
    </w:p>
    <w:p w:rsidR="009520A9" w:rsidRDefault="00770482">
      <w:r>
        <w:t xml:space="preserve">Ova aktivnost sastoji se od sljedećih elemenata: </w:t>
      </w:r>
    </w:p>
    <w:p w:rsidR="009520A9" w:rsidRDefault="00770482">
      <w:r>
        <w:t>1.</w:t>
      </w:r>
      <w:r>
        <w:tab/>
        <w:t xml:space="preserve">Završne isplate korisnicima temeljem ugovora o bespovratnoj dodjeli sredstava </w:t>
      </w:r>
    </w:p>
    <w:p w:rsidR="009520A9" w:rsidRDefault="00770482">
      <w:r>
        <w:t>Izračun</w:t>
      </w:r>
      <w:r>
        <w:t xml:space="preserve"> financijskog plana: </w:t>
      </w:r>
    </w:p>
    <w:p w:rsidR="009520A9" w:rsidRDefault="00770482">
      <w:r>
        <w:t xml:space="preserve">Do kraja 2024. godine planirane su završne isplate za 60 projekata završenih u 2023. godini. </w:t>
      </w:r>
    </w:p>
    <w:p w:rsidR="009520A9" w:rsidRDefault="00770482">
      <w:r>
        <w:t>Sva planirana sredstva u 2024. godini namijenjena su za isplate korisnicima projekata. Za projekte aktivnosti osposobljavanja nisu planirana</w:t>
      </w:r>
      <w:r>
        <w:t xml:space="preserve"> sredstva na ovoj aktivnosti budući da je provedba tih aktivnosti završila krajem 2021. godine. </w:t>
      </w:r>
    </w:p>
    <w:p w:rsidR="009520A9" w:rsidRDefault="00770482">
      <w:r>
        <w:t>Budući da su sve aktivnosti u okviru projekata završile u 2023. godini te su preostale samo isplate po analizi završnih izvješća, pokazatelji rezultata nisu pr</w:t>
      </w:r>
      <w:r>
        <w:t>imjenjivi u okviru financijskog plana za 2024. godinu.</w:t>
      </w:r>
    </w:p>
    <w:p w:rsidR="009520A9" w:rsidRDefault="00770482">
      <w:pPr>
        <w:pStyle w:val="Heading4"/>
      </w:pPr>
      <w:r>
        <w:t>A818055 PORTAL STUDY IN CROATIA</w:t>
      </w:r>
    </w:p>
    <w:p w:rsidR="009520A9" w:rsidRDefault="00770482">
      <w:pPr>
        <w:pStyle w:val="Heading8"/>
        <w:jc w:val="left"/>
      </w:pPr>
      <w:r>
        <w:t>Zakonske i druge pravne osnove</w:t>
      </w:r>
    </w:p>
    <w:p w:rsidR="009520A9" w:rsidRDefault="00770482">
      <w:r>
        <w:t>Zakon o Agenciji za mobilnost i programe EU</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A818055</w:t>
            </w:r>
          </w:p>
        </w:tc>
        <w:tc>
          <w:tcPr>
            <w:tcW w:w="1632" w:type="dxa"/>
            <w:vAlign w:val="top"/>
          </w:tcPr>
          <w:p w:rsidR="009520A9" w:rsidRDefault="00770482">
            <w:pPr>
              <w:jc w:val="right"/>
            </w:pPr>
            <w:r>
              <w:t>22.837</w:t>
            </w:r>
          </w:p>
        </w:tc>
        <w:tc>
          <w:tcPr>
            <w:tcW w:w="1632" w:type="dxa"/>
            <w:vAlign w:val="top"/>
          </w:tcPr>
          <w:p w:rsidR="009520A9" w:rsidRDefault="00770482">
            <w:pPr>
              <w:jc w:val="right"/>
            </w:pPr>
            <w:r>
              <w:t>38.664</w:t>
            </w:r>
          </w:p>
        </w:tc>
        <w:tc>
          <w:tcPr>
            <w:tcW w:w="1632" w:type="dxa"/>
            <w:vAlign w:val="top"/>
          </w:tcPr>
          <w:p w:rsidR="009520A9" w:rsidRDefault="00770482">
            <w:pPr>
              <w:jc w:val="right"/>
            </w:pPr>
            <w:r>
              <w:t>58.013</w:t>
            </w:r>
          </w:p>
        </w:tc>
        <w:tc>
          <w:tcPr>
            <w:tcW w:w="1632" w:type="dxa"/>
            <w:vAlign w:val="top"/>
          </w:tcPr>
          <w:p w:rsidR="009520A9" w:rsidRDefault="00770482">
            <w:pPr>
              <w:jc w:val="right"/>
            </w:pPr>
            <w:r>
              <w:t>58.013</w:t>
            </w:r>
          </w:p>
        </w:tc>
        <w:tc>
          <w:tcPr>
            <w:tcW w:w="1632" w:type="dxa"/>
            <w:vAlign w:val="top"/>
          </w:tcPr>
          <w:p w:rsidR="009520A9" w:rsidRDefault="00770482">
            <w:pPr>
              <w:jc w:val="right"/>
            </w:pPr>
            <w:r>
              <w:t>58.013</w:t>
            </w:r>
          </w:p>
        </w:tc>
        <w:tc>
          <w:tcPr>
            <w:tcW w:w="510" w:type="dxa"/>
            <w:vAlign w:val="top"/>
          </w:tcPr>
          <w:p w:rsidR="009520A9" w:rsidRDefault="00770482">
            <w:pPr>
              <w:jc w:val="right"/>
            </w:pPr>
            <w:r>
              <w:t>150,0</w:t>
            </w:r>
          </w:p>
        </w:tc>
      </w:tr>
    </w:tbl>
    <w:p w:rsidR="009520A9" w:rsidRDefault="009520A9">
      <w:pPr>
        <w:jc w:val="left"/>
      </w:pPr>
    </w:p>
    <w:p w:rsidR="009520A9" w:rsidRDefault="00770482">
      <w:r>
        <w:t xml:space="preserve">Ova aktivnost provodi se svake godine. </w:t>
      </w:r>
    </w:p>
    <w:p w:rsidR="009520A9" w:rsidRDefault="00770482">
      <w:r>
        <w:t xml:space="preserve">U razdoblju 2024. – 2026. očekuje se ostvarenje sljedećeg: </w:t>
      </w:r>
    </w:p>
    <w:p w:rsidR="009520A9" w:rsidRDefault="00770482">
      <w:r>
        <w:t>Portal Study in Croatia je sveobuhvatni izvor informacija o hrvatskom sustavu visokog obrazovanja namijenjen stranim studentima s praktičnim informacijama o studijskim programima, upisima, smještaju, viznom režimu, stipendijama i dr. Aktivnosti uključuju s</w:t>
      </w:r>
      <w:r>
        <w:t>udjelovanje predstavnika Agencije i hrvatskih visokih učilišta na sajmovima visokog obrazovanja u inozemstvu. Navedena je djelatnost sukladna hrvatskim i europskim strateškim dokumentima, međutim ne može se financirati sredstvima iz programa Erasmus+. U ok</w:t>
      </w:r>
      <w:r>
        <w:t>viru ove aktivnosti, planirana je i organizacija događanja za visoka učilišta i studente s ciljem kvalitetnijeg zajedničkog nastupa na sajmovima visokog obrazovanja te promocije studiranja u RH. Planirano je i sudjelovanje na četiri međunarodna sajma u 202</w:t>
      </w:r>
      <w:r>
        <w:t>4. godini (Francuska, Slovenija, Australija, SAD). S obzirom na stratešku važnost privlačenja stranih studenata koja će biti iskazana u skoroj objavi Rezolucije o imigracijskoj politici Republike Hrvatske, potrebno je povećavati sredstva na ovoj aktivnosti</w:t>
      </w:r>
      <w:r>
        <w:t xml:space="preserve">.  </w:t>
      </w:r>
    </w:p>
    <w:p w:rsidR="009520A9" w:rsidRDefault="00770482">
      <w:r>
        <w:t xml:space="preserve">Ova aktivnost sastoji se od sljedećih elemenata: </w:t>
      </w:r>
    </w:p>
    <w:p w:rsidR="009520A9" w:rsidRDefault="00770482">
      <w:r>
        <w:t>1.</w:t>
      </w:r>
      <w:r>
        <w:tab/>
        <w:t xml:space="preserve">Materijalni rashodi sudjelovanja na sajmovima visokog obrazovanja </w:t>
      </w:r>
    </w:p>
    <w:p w:rsidR="009520A9" w:rsidRDefault="00770482">
      <w:r>
        <w:t xml:space="preserve">Izračun financijskog plana: </w:t>
      </w:r>
    </w:p>
    <w:p w:rsidR="009520A9" w:rsidRDefault="00770482">
      <w:r>
        <w:t xml:space="preserve">Plan proračuna za 2024. godinu povećan je u odnosu na tekući financijski plan za 2023. godinu.  </w:t>
      </w:r>
    </w:p>
    <w:p w:rsidR="009520A9" w:rsidRDefault="00770482">
      <w:r>
        <w:t>Planir</w:t>
      </w:r>
      <w:r>
        <w:t>ana sredstva za 2024. za troškove sudjelovanja na sajmovima (najam i oprema) su umanjena u odnosu na tekući plan te iznose 17.500 EUR, a razlog umanjenja su troškovi koji se knjiže na usluge promidžbe i informiranja planirana te su one sukladno tome poveća</w:t>
      </w:r>
      <w:r>
        <w:t>ne na 19.800 EUR (promotivni materijali, izložbeni prostor na sajmu, vizualno uređivanje štandova na međunarodnim sajmovima, troškovi promidžbenih kampanja na društvenim mrežama), intelektualne i osobne usluge 6.500 EUR (usluge grafičkog dizajna promotivni</w:t>
      </w:r>
      <w:r>
        <w:t>h materijala, organizacija edukacija za visoka učilišta). Za računalne usluge i ulaganja u računalne programe osigurano je ukupno 100 EUR (održavanje mrežne stranice, prilagodba sadržaja mrežne stranice sukladno Zakonu o pristupačnosti mrežnih stranica i p</w:t>
      </w:r>
      <w:r>
        <w:t>rogramskih rješenja za pokretne uređaje tijela javnog sektora, zakup domene i sl.). Za službena putovanja planira se iznos od 10.000 EUR (sudjelovanje djelatnika Agencije na sajmovima).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w:t>
            </w:r>
            <w:r>
              <w:rPr>
                <w:rFonts w:cs="Times New Roman"/>
              </w:rPr>
              <w:t xml:space="preserve">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sajmova na kojima je sudjelovala hrvatska delegacija visokih učilišta</w:t>
            </w:r>
          </w:p>
        </w:tc>
        <w:tc>
          <w:tcPr>
            <w:tcW w:w="2245" w:type="dxa"/>
            <w:vAlign w:val="top"/>
          </w:tcPr>
          <w:p w:rsidR="009520A9" w:rsidRDefault="00770482">
            <w:pPr>
              <w:pStyle w:val="CellColumn"/>
              <w:jc w:val="left"/>
            </w:pPr>
            <w:r>
              <w:rPr>
                <w:rFonts w:cs="Times New Roman"/>
              </w:rPr>
              <w:t>AMPEU, u suradnji s MZO, planira sudjelovanje hrvatskih visokih učilišta na  međunarodnim sajmovima visokog obrazovanja godišnje s ciljem učinkovite promocije hrvatskog visokog obrazovanja u inozemstvu. Pokazatelj je broj ostvarenih posjeta sajmovima u odn</w:t>
            </w:r>
            <w:r>
              <w:rPr>
                <w:rFonts w:cs="Times New Roman"/>
              </w:rPr>
              <w:t>osu na godišnji plan.</w:t>
            </w:r>
          </w:p>
        </w:tc>
        <w:tc>
          <w:tcPr>
            <w:tcW w:w="918" w:type="dxa"/>
          </w:tcPr>
          <w:p w:rsidR="009520A9" w:rsidRDefault="00770482">
            <w:pPr>
              <w:jc w:val="center"/>
            </w:pPr>
            <w:r>
              <w:t>Broj</w:t>
            </w:r>
          </w:p>
        </w:tc>
        <w:tc>
          <w:tcPr>
            <w:tcW w:w="918" w:type="dxa"/>
          </w:tcPr>
          <w:p w:rsidR="009520A9" w:rsidRDefault="00770482">
            <w:pPr>
              <w:jc w:val="center"/>
            </w:pPr>
            <w:r>
              <w:t>2</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4</w:t>
            </w:r>
          </w:p>
        </w:tc>
        <w:tc>
          <w:tcPr>
            <w:tcW w:w="918" w:type="dxa"/>
          </w:tcPr>
          <w:p w:rsidR="009520A9" w:rsidRDefault="00770482">
            <w:pPr>
              <w:jc w:val="center"/>
            </w:pPr>
            <w:r>
              <w:t>4</w:t>
            </w:r>
          </w:p>
        </w:tc>
        <w:tc>
          <w:tcPr>
            <w:tcW w:w="918" w:type="dxa"/>
          </w:tcPr>
          <w:p w:rsidR="009520A9" w:rsidRDefault="00770482">
            <w:pPr>
              <w:jc w:val="center"/>
            </w:pPr>
            <w:r>
              <w:t>4</w:t>
            </w:r>
          </w:p>
        </w:tc>
      </w:tr>
    </w:tbl>
    <w:p w:rsidR="009520A9" w:rsidRDefault="009520A9">
      <w:pPr>
        <w:jc w:val="left"/>
      </w:pPr>
    </w:p>
    <w:p w:rsidR="009520A9" w:rsidRDefault="00770482">
      <w:pPr>
        <w:pStyle w:val="Heading4"/>
      </w:pPr>
      <w:r>
        <w:t>A818058 EUROPSKE SNAGE SOLIDARNOSTI PROVEDBA PROGRAMA</w:t>
      </w:r>
    </w:p>
    <w:p w:rsidR="009520A9" w:rsidRDefault="00770482">
      <w:pPr>
        <w:pStyle w:val="Heading8"/>
        <w:jc w:val="left"/>
      </w:pPr>
      <w:r>
        <w:t>Zakonske i druge pravne osnove</w:t>
      </w:r>
    </w:p>
    <w:p w:rsidR="009520A9" w:rsidRDefault="00770482">
      <w:r>
        <w:t>Zakon o Agenciji za mobilnost i programe EU, Uredba (EU) 2021/888 Europskog parlamenta i Vijeća od 20. svibnja 2021. o uspostavi programa Europske snage solidarnosti i o stavljanju izvan snage uredaba (EU) 2018/1475 i (EU) br. 375/2014., Ugovori s Europsko</w:t>
      </w:r>
      <w:r>
        <w:t>m komisijom o provedbi programa i projekata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A818058</w:t>
            </w:r>
          </w:p>
        </w:tc>
        <w:tc>
          <w:tcPr>
            <w:tcW w:w="1632" w:type="dxa"/>
            <w:vAlign w:val="top"/>
          </w:tcPr>
          <w:p w:rsidR="009520A9" w:rsidRDefault="00770482">
            <w:pPr>
              <w:jc w:val="right"/>
            </w:pPr>
            <w:r>
              <w:t>211.761</w:t>
            </w:r>
          </w:p>
        </w:tc>
        <w:tc>
          <w:tcPr>
            <w:tcW w:w="1632" w:type="dxa"/>
            <w:vAlign w:val="top"/>
          </w:tcPr>
          <w:p w:rsidR="009520A9" w:rsidRDefault="00770482">
            <w:pPr>
              <w:jc w:val="right"/>
            </w:pPr>
            <w:r>
              <w:t>401.039</w:t>
            </w:r>
          </w:p>
        </w:tc>
        <w:tc>
          <w:tcPr>
            <w:tcW w:w="1632" w:type="dxa"/>
            <w:vAlign w:val="top"/>
          </w:tcPr>
          <w:p w:rsidR="009520A9" w:rsidRDefault="00770482">
            <w:pPr>
              <w:jc w:val="right"/>
            </w:pPr>
            <w:r>
              <w:t>332.030</w:t>
            </w:r>
          </w:p>
        </w:tc>
        <w:tc>
          <w:tcPr>
            <w:tcW w:w="1632" w:type="dxa"/>
            <w:vAlign w:val="top"/>
          </w:tcPr>
          <w:p w:rsidR="009520A9" w:rsidRDefault="00770482">
            <w:pPr>
              <w:jc w:val="right"/>
            </w:pPr>
            <w:r>
              <w:t>338.608</w:t>
            </w:r>
          </w:p>
        </w:tc>
        <w:tc>
          <w:tcPr>
            <w:tcW w:w="1632" w:type="dxa"/>
            <w:vAlign w:val="top"/>
          </w:tcPr>
          <w:p w:rsidR="009520A9" w:rsidRDefault="00770482">
            <w:pPr>
              <w:jc w:val="right"/>
            </w:pPr>
            <w:r>
              <w:t>413.754</w:t>
            </w:r>
          </w:p>
        </w:tc>
        <w:tc>
          <w:tcPr>
            <w:tcW w:w="510" w:type="dxa"/>
            <w:vAlign w:val="top"/>
          </w:tcPr>
          <w:p w:rsidR="009520A9" w:rsidRDefault="00770482">
            <w:pPr>
              <w:jc w:val="right"/>
            </w:pPr>
            <w:r>
              <w:t>82,8</w:t>
            </w:r>
          </w:p>
        </w:tc>
      </w:tr>
    </w:tbl>
    <w:p w:rsidR="009520A9" w:rsidRDefault="009520A9">
      <w:pPr>
        <w:jc w:val="left"/>
      </w:pPr>
    </w:p>
    <w:p w:rsidR="009520A9" w:rsidRDefault="00770482">
      <w:r>
        <w:t xml:space="preserve">Ova aktivnost provodi se svake godine i vezana je uz provedbu EU programa Europske snage solidarnosti na nacionalnoj razini. </w:t>
      </w:r>
    </w:p>
    <w:p w:rsidR="009520A9" w:rsidRDefault="00770482">
      <w:r>
        <w:t xml:space="preserve">Ova aktivnost sastoji se od sljedećih elemenata: </w:t>
      </w:r>
    </w:p>
    <w:p w:rsidR="009520A9" w:rsidRDefault="00770482">
      <w:r>
        <w:t>1.</w:t>
      </w:r>
      <w:r>
        <w:tab/>
        <w:t xml:space="preserve">Rashodi za zaposlene </w:t>
      </w:r>
    </w:p>
    <w:p w:rsidR="009520A9" w:rsidRDefault="00770482">
      <w:r>
        <w:t>2.</w:t>
      </w:r>
      <w:r>
        <w:tab/>
        <w:t>Materijalni rashodi provedbe programa Europske snage</w:t>
      </w:r>
      <w:r>
        <w:t xml:space="preserve"> solidarnosti u RH </w:t>
      </w:r>
    </w:p>
    <w:p w:rsidR="009520A9" w:rsidRDefault="00770482">
      <w:r>
        <w:t>3.</w:t>
      </w:r>
      <w:r>
        <w:tab/>
        <w:t xml:space="preserve">Rashodi za nabavu nefinancijske imovine </w:t>
      </w:r>
    </w:p>
    <w:p w:rsidR="009520A9" w:rsidRDefault="00770482">
      <w:r>
        <w:t xml:space="preserve">Izračun financijskog plana: </w:t>
      </w:r>
    </w:p>
    <w:p w:rsidR="009520A9" w:rsidRDefault="00770482">
      <w:r>
        <w:t xml:space="preserve">Plaće za redovan rad radnika sukladno materijalnim pravima radnika. Iznos je planiran na izvoru 12 u iznosu od 93.257,00 EUR. </w:t>
      </w:r>
    </w:p>
    <w:p w:rsidR="009520A9" w:rsidRDefault="00770482">
      <w:r>
        <w:t>Za službena putovanja planirano je 5</w:t>
      </w:r>
      <w:r>
        <w:t xml:space="preserve">.000 EUR. Taj iznos namijenjen za službena putovanja za troškove putovanja i smještaja vanjskim suradnicima (primjeri dobre prakse, govornici, treneri, facilitatori, ambasadori)  </w:t>
      </w:r>
    </w:p>
    <w:p w:rsidR="009520A9" w:rsidRDefault="00770482">
      <w:r>
        <w:t>Za usluge promidžbe i informiranja s ciljem povećanja broja korisnika i prij</w:t>
      </w:r>
      <w:r>
        <w:t xml:space="preserve">avitelja programa Europske snage solidarnosti planirano je – 29.150 EUR u svrhu izdavanja promotivnih materijala i informativnih letaka i brošura s primjerima dobrih praksi. </w:t>
      </w:r>
    </w:p>
    <w:p w:rsidR="009520A9" w:rsidRDefault="00770482">
      <w:r>
        <w:t xml:space="preserve">Osigurana su sredstva za naknade za angažman vanjskih ocjenjivača u iznosu 5.394 </w:t>
      </w:r>
      <w:r>
        <w:t>EUR kn, visina naknade ovisi o programskoj aktivnosti za koju je podnesena projektna prijava. Broj prijava procijenjen je u odnosu na trendove u broju projektnih prijava na prošlim natječajnim godinama. 3.716 EUR planirano je za naknade ambasadorima uključ</w:t>
      </w:r>
      <w:r>
        <w:t xml:space="preserve">ivanja i raznolikosti putem ugovora o poslovnoj suradnji. Za ugovore o djelu za govornike, predavače na događanjima i facilitatore, troškove prevođenja i lekture planirano je 22.000 EUR.  </w:t>
      </w:r>
    </w:p>
    <w:p w:rsidR="009520A9" w:rsidRDefault="00770482">
      <w:r>
        <w:t>Za potrebe organizacije radionica, seminara i informativnih događan</w:t>
      </w:r>
      <w:r>
        <w:t xml:space="preserve">ja za korisnike predviđeno je 3.477 EUR za troškove reprezentacije te – 28.350 EUR na stavci zakupnine i najamnine za najam prostora povodom događanja i radionica. </w:t>
      </w:r>
    </w:p>
    <w:p w:rsidR="009520A9" w:rsidRDefault="00770482">
      <w:r>
        <w:t>Za uredsku opremu i namještaj te ulaganje u računalne programe predviđeno je 5.568 EUR - na</w:t>
      </w:r>
      <w:r>
        <w:t xml:space="preserve"> izvorima 12 i 51.</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događanja</w:t>
            </w:r>
          </w:p>
        </w:tc>
        <w:tc>
          <w:tcPr>
            <w:tcW w:w="2245" w:type="dxa"/>
            <w:vAlign w:val="top"/>
          </w:tcPr>
          <w:p w:rsidR="009520A9" w:rsidRDefault="00770482">
            <w:pPr>
              <w:pStyle w:val="CellColumn"/>
              <w:jc w:val="left"/>
            </w:pPr>
            <w:r>
              <w:rPr>
                <w:rFonts w:cs="Times New Roman"/>
              </w:rPr>
              <w:t>Agencija program provodi organizacijom informativno-promotivnih i edukativnih događanja za prijavitelje, korisnike i dionike</w:t>
            </w:r>
          </w:p>
        </w:tc>
        <w:tc>
          <w:tcPr>
            <w:tcW w:w="918" w:type="dxa"/>
          </w:tcPr>
          <w:p w:rsidR="009520A9" w:rsidRDefault="00770482">
            <w:pPr>
              <w:jc w:val="center"/>
            </w:pPr>
            <w:r>
              <w:t>Broj</w:t>
            </w:r>
          </w:p>
        </w:tc>
        <w:tc>
          <w:tcPr>
            <w:tcW w:w="918" w:type="dxa"/>
          </w:tcPr>
          <w:p w:rsidR="009520A9" w:rsidRDefault="00770482">
            <w:pPr>
              <w:jc w:val="center"/>
            </w:pPr>
            <w:r>
              <w:t>80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80</w:t>
            </w:r>
          </w:p>
        </w:tc>
        <w:tc>
          <w:tcPr>
            <w:tcW w:w="918" w:type="dxa"/>
          </w:tcPr>
          <w:p w:rsidR="009520A9" w:rsidRDefault="00770482">
            <w:pPr>
              <w:jc w:val="center"/>
            </w:pPr>
            <w:r>
              <w:t>80</w:t>
            </w:r>
          </w:p>
        </w:tc>
        <w:tc>
          <w:tcPr>
            <w:tcW w:w="918" w:type="dxa"/>
          </w:tcPr>
          <w:p w:rsidR="009520A9" w:rsidRDefault="00770482">
            <w:pPr>
              <w:jc w:val="center"/>
            </w:pPr>
            <w:r>
              <w:t>80</w:t>
            </w:r>
          </w:p>
        </w:tc>
      </w:tr>
      <w:tr w:rsidR="009520A9">
        <w:trPr>
          <w:jc w:val="center"/>
        </w:trPr>
        <w:tc>
          <w:tcPr>
            <w:tcW w:w="2245" w:type="dxa"/>
            <w:vAlign w:val="top"/>
          </w:tcPr>
          <w:p w:rsidR="009520A9" w:rsidRDefault="00770482">
            <w:pPr>
              <w:pStyle w:val="CellColumn"/>
              <w:jc w:val="left"/>
            </w:pPr>
            <w:r>
              <w:rPr>
                <w:rFonts w:cs="Times New Roman"/>
              </w:rPr>
              <w:t xml:space="preserve">Broj sudionika </w:t>
            </w:r>
          </w:p>
          <w:p w:rsidR="009520A9" w:rsidRDefault="00770482">
            <w:pPr>
              <w:pStyle w:val="CellColumn"/>
              <w:jc w:val="left"/>
            </w:pPr>
            <w:r>
              <w:rPr>
                <w:rFonts w:cs="Times New Roman"/>
              </w:rPr>
              <w:t>na događanjima</w:t>
            </w:r>
          </w:p>
        </w:tc>
        <w:tc>
          <w:tcPr>
            <w:tcW w:w="2245" w:type="dxa"/>
            <w:vAlign w:val="top"/>
          </w:tcPr>
          <w:p w:rsidR="009520A9" w:rsidRDefault="00770482">
            <w:pPr>
              <w:pStyle w:val="CellColumn"/>
              <w:jc w:val="left"/>
            </w:pPr>
            <w:r>
              <w:rPr>
                <w:rFonts w:cs="Times New Roman"/>
              </w:rPr>
              <w:t>Procijenjeni broj sudionika na događanjima u organizaciji Agencije i gostovanjima</w:t>
            </w:r>
          </w:p>
        </w:tc>
        <w:tc>
          <w:tcPr>
            <w:tcW w:w="918" w:type="dxa"/>
          </w:tcPr>
          <w:p w:rsidR="009520A9" w:rsidRDefault="00770482">
            <w:pPr>
              <w:jc w:val="center"/>
            </w:pPr>
            <w:r>
              <w:t>Broj</w:t>
            </w:r>
          </w:p>
        </w:tc>
        <w:tc>
          <w:tcPr>
            <w:tcW w:w="918" w:type="dxa"/>
          </w:tcPr>
          <w:p w:rsidR="009520A9" w:rsidRDefault="00770482">
            <w:pPr>
              <w:jc w:val="center"/>
            </w:pPr>
            <w:r>
              <w:t>7.500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7.500</w:t>
            </w:r>
          </w:p>
        </w:tc>
        <w:tc>
          <w:tcPr>
            <w:tcW w:w="918" w:type="dxa"/>
          </w:tcPr>
          <w:p w:rsidR="009520A9" w:rsidRDefault="00770482">
            <w:pPr>
              <w:jc w:val="center"/>
            </w:pPr>
            <w:r>
              <w:t>7.500</w:t>
            </w:r>
          </w:p>
        </w:tc>
        <w:tc>
          <w:tcPr>
            <w:tcW w:w="918" w:type="dxa"/>
          </w:tcPr>
          <w:p w:rsidR="009520A9" w:rsidRDefault="00770482">
            <w:pPr>
              <w:jc w:val="center"/>
            </w:pPr>
            <w:r>
              <w:t>7.500</w:t>
            </w:r>
          </w:p>
        </w:tc>
      </w:tr>
      <w:tr w:rsidR="009520A9">
        <w:trPr>
          <w:jc w:val="center"/>
        </w:trPr>
        <w:tc>
          <w:tcPr>
            <w:tcW w:w="2245" w:type="dxa"/>
            <w:vAlign w:val="top"/>
          </w:tcPr>
          <w:p w:rsidR="009520A9" w:rsidRDefault="00770482">
            <w:pPr>
              <w:pStyle w:val="CellColumn"/>
              <w:jc w:val="left"/>
            </w:pPr>
            <w:r>
              <w:rPr>
                <w:rFonts w:cs="Times New Roman"/>
              </w:rPr>
              <w:t>Broj posjeta mrežnim stranicama</w:t>
            </w:r>
          </w:p>
        </w:tc>
        <w:tc>
          <w:tcPr>
            <w:tcW w:w="2245" w:type="dxa"/>
            <w:vAlign w:val="top"/>
          </w:tcPr>
          <w:p w:rsidR="009520A9" w:rsidRDefault="00770482">
            <w:pPr>
              <w:pStyle w:val="CellColumn"/>
              <w:jc w:val="left"/>
            </w:pPr>
            <w:r>
              <w:rPr>
                <w:rFonts w:cs="Times New Roman"/>
              </w:rPr>
              <w:t>Agencija održava niz mrežnih stranica kojima se promiču mogućnosti programa ESS</w:t>
            </w:r>
          </w:p>
        </w:tc>
        <w:tc>
          <w:tcPr>
            <w:tcW w:w="918" w:type="dxa"/>
          </w:tcPr>
          <w:p w:rsidR="009520A9" w:rsidRDefault="00770482">
            <w:pPr>
              <w:jc w:val="center"/>
            </w:pPr>
            <w:r>
              <w:t>Broj</w:t>
            </w:r>
          </w:p>
        </w:tc>
        <w:tc>
          <w:tcPr>
            <w:tcW w:w="918" w:type="dxa"/>
          </w:tcPr>
          <w:p w:rsidR="009520A9" w:rsidRDefault="00770482">
            <w:pPr>
              <w:jc w:val="center"/>
            </w:pPr>
            <w:r>
              <w:t>500.000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505.000</w:t>
            </w:r>
          </w:p>
        </w:tc>
        <w:tc>
          <w:tcPr>
            <w:tcW w:w="918" w:type="dxa"/>
          </w:tcPr>
          <w:p w:rsidR="009520A9" w:rsidRDefault="00770482">
            <w:pPr>
              <w:jc w:val="center"/>
            </w:pPr>
            <w:r>
              <w:t>510.000</w:t>
            </w:r>
          </w:p>
        </w:tc>
        <w:tc>
          <w:tcPr>
            <w:tcW w:w="918" w:type="dxa"/>
          </w:tcPr>
          <w:p w:rsidR="009520A9" w:rsidRDefault="00770482">
            <w:pPr>
              <w:jc w:val="center"/>
            </w:pPr>
            <w:r>
              <w:t>515.000</w:t>
            </w:r>
          </w:p>
        </w:tc>
      </w:tr>
      <w:tr w:rsidR="009520A9">
        <w:trPr>
          <w:jc w:val="center"/>
        </w:trPr>
        <w:tc>
          <w:tcPr>
            <w:tcW w:w="2245" w:type="dxa"/>
            <w:vAlign w:val="top"/>
          </w:tcPr>
          <w:p w:rsidR="009520A9" w:rsidRDefault="00770482">
            <w:pPr>
              <w:pStyle w:val="CellColumn"/>
              <w:jc w:val="left"/>
            </w:pPr>
            <w:r>
              <w:rPr>
                <w:rFonts w:cs="Times New Roman"/>
              </w:rPr>
              <w:t>Broj korisnika na društvenim mrežama</w:t>
            </w:r>
          </w:p>
        </w:tc>
        <w:tc>
          <w:tcPr>
            <w:tcW w:w="2245" w:type="dxa"/>
            <w:vAlign w:val="top"/>
          </w:tcPr>
          <w:p w:rsidR="009520A9" w:rsidRDefault="00770482">
            <w:pPr>
              <w:pStyle w:val="CellColumn"/>
              <w:jc w:val="left"/>
            </w:pPr>
            <w:r>
              <w:rPr>
                <w:rFonts w:cs="Times New Roman"/>
              </w:rPr>
              <w:t>Agencija održava niz stranica na društvenim mrežama radi promocije ESS-a</w:t>
            </w:r>
          </w:p>
        </w:tc>
        <w:tc>
          <w:tcPr>
            <w:tcW w:w="918" w:type="dxa"/>
          </w:tcPr>
          <w:p w:rsidR="009520A9" w:rsidRDefault="00770482">
            <w:pPr>
              <w:jc w:val="center"/>
            </w:pPr>
            <w:r>
              <w:t>Broj</w:t>
            </w:r>
          </w:p>
        </w:tc>
        <w:tc>
          <w:tcPr>
            <w:tcW w:w="918" w:type="dxa"/>
          </w:tcPr>
          <w:p w:rsidR="009520A9" w:rsidRDefault="00770482">
            <w:pPr>
              <w:jc w:val="center"/>
            </w:pPr>
            <w:r>
              <w:t>24.000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25.000</w:t>
            </w:r>
          </w:p>
        </w:tc>
        <w:tc>
          <w:tcPr>
            <w:tcW w:w="918" w:type="dxa"/>
          </w:tcPr>
          <w:p w:rsidR="009520A9" w:rsidRDefault="00770482">
            <w:pPr>
              <w:jc w:val="center"/>
            </w:pPr>
            <w:r>
              <w:t>26.000</w:t>
            </w:r>
          </w:p>
        </w:tc>
        <w:tc>
          <w:tcPr>
            <w:tcW w:w="918" w:type="dxa"/>
          </w:tcPr>
          <w:p w:rsidR="009520A9" w:rsidRDefault="00770482">
            <w:pPr>
              <w:jc w:val="center"/>
            </w:pPr>
            <w:r>
              <w:t>27.000</w:t>
            </w:r>
          </w:p>
        </w:tc>
      </w:tr>
    </w:tbl>
    <w:p w:rsidR="009520A9" w:rsidRDefault="009520A9">
      <w:pPr>
        <w:jc w:val="left"/>
      </w:pPr>
    </w:p>
    <w:p w:rsidR="009520A9" w:rsidRDefault="00770482">
      <w:pPr>
        <w:pStyle w:val="Heading4"/>
      </w:pPr>
      <w:r>
        <w:t>A818059 EUROPSKE SNAGE SOLIDARNOSTI - PROJEKTI ZA KORISNIKE OD 2018. DO 2020.</w:t>
      </w:r>
    </w:p>
    <w:p w:rsidR="009520A9" w:rsidRDefault="00770482">
      <w:pPr>
        <w:pStyle w:val="Heading8"/>
        <w:jc w:val="left"/>
      </w:pPr>
      <w:r>
        <w:t>Zakonske i druge pravne osnove</w:t>
      </w:r>
    </w:p>
    <w:p w:rsidR="009520A9" w:rsidRDefault="00770482">
      <w:r>
        <w:t xml:space="preserve">Zakon o Agenciji za mobilnost i programe EU, Ugovori s Europskom komisijom o provedbi programa i projekata, Uredba Europskog parlamenta i Vijeća o utvrđivanju pravnog okvira Europskih snaga solidarnosti i izmjeni uredbi (EU) </w:t>
      </w:r>
      <w:r>
        <w:t>br. 1288/2013, (EU) br. 1293/2013, (EU) br. 1303/2013, (EU) br. 1305/2013, (EU) br. 1306/2013 i Odluke br. 1313/2013/EU</w:t>
      </w:r>
    </w:p>
    <w:tbl>
      <w:tblPr>
        <w:tblStyle w:val="StilTablice"/>
        <w:tblW w:w="10206" w:type="dxa"/>
        <w:jc w:val="center"/>
        <w:tblLook w:val="04A0" w:firstRow="1" w:lastRow="0" w:firstColumn="1" w:lastColumn="0" w:noHBand="0" w:noVBand="1"/>
      </w:tblPr>
      <w:tblGrid>
        <w:gridCol w:w="1477"/>
        <w:gridCol w:w="1567"/>
        <w:gridCol w:w="1552"/>
        <w:gridCol w:w="1552"/>
        <w:gridCol w:w="1544"/>
        <w:gridCol w:w="1544"/>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A818059</w:t>
            </w:r>
          </w:p>
        </w:tc>
        <w:tc>
          <w:tcPr>
            <w:tcW w:w="1632" w:type="dxa"/>
            <w:vAlign w:val="top"/>
          </w:tcPr>
          <w:p w:rsidR="009520A9" w:rsidRDefault="00770482">
            <w:pPr>
              <w:jc w:val="right"/>
            </w:pPr>
            <w:r>
              <w:t>147.237</w:t>
            </w:r>
          </w:p>
        </w:tc>
        <w:tc>
          <w:tcPr>
            <w:tcW w:w="1632" w:type="dxa"/>
            <w:vAlign w:val="top"/>
          </w:tcPr>
          <w:p w:rsidR="009520A9" w:rsidRDefault="00770482">
            <w:pPr>
              <w:jc w:val="right"/>
            </w:pPr>
            <w:r>
              <w:t>25.700</w:t>
            </w:r>
          </w:p>
        </w:tc>
        <w:tc>
          <w:tcPr>
            <w:tcW w:w="1632" w:type="dxa"/>
            <w:vAlign w:val="top"/>
          </w:tcPr>
          <w:p w:rsidR="009520A9" w:rsidRDefault="00770482">
            <w:pPr>
              <w:jc w:val="right"/>
            </w:pPr>
            <w:r>
              <w:t>12.700</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510" w:type="dxa"/>
            <w:vAlign w:val="top"/>
          </w:tcPr>
          <w:p w:rsidR="009520A9" w:rsidRDefault="00770482">
            <w:pPr>
              <w:jc w:val="right"/>
            </w:pPr>
            <w:r>
              <w:t>49,4</w:t>
            </w:r>
          </w:p>
        </w:tc>
      </w:tr>
    </w:tbl>
    <w:p w:rsidR="009520A9" w:rsidRDefault="009520A9">
      <w:pPr>
        <w:jc w:val="left"/>
      </w:pPr>
    </w:p>
    <w:p w:rsidR="009520A9" w:rsidRDefault="00770482">
      <w:r>
        <w:t>Ova aktivnost započela je 2018. godine i provodi se svake godine do završetka svih potpisanih ugovora o dodjeli bespovratnih sredstava korisnicima te predaje finalnog izvješća Europskoj komisiji (očekivano 2024./2025.) u okviru programa Europske snage so</w:t>
      </w:r>
      <w:r>
        <w:t xml:space="preserve">lidarnosti 2018.-2020. </w:t>
      </w:r>
    </w:p>
    <w:p w:rsidR="009520A9" w:rsidRDefault="00770482">
      <w:r>
        <w:t>S obzirom na to da je 2020. godine završilo programsko razdoblje, na ovoj aktivnosti je iskazano umanjenje u odnosu na tekući financijski plan sukladno očekivanoj realizaciji projekata. U projekcijama financijskog plana za 2025. i 2</w:t>
      </w:r>
      <w:r>
        <w:t xml:space="preserve">026. godini nije predviđeno financiranje iz ove aktivnosti budući da će posljednji projekt završiti u prvoj polovici 2024. godine.  </w:t>
      </w:r>
    </w:p>
    <w:p w:rsidR="009520A9" w:rsidRDefault="00770482">
      <w:r>
        <w:t xml:space="preserve">Ova aktivnost sastoji se od sljedećih elemenata: </w:t>
      </w:r>
    </w:p>
    <w:p w:rsidR="009520A9" w:rsidRDefault="00770482">
      <w:r>
        <w:t>1.</w:t>
      </w:r>
      <w:r>
        <w:tab/>
        <w:t>Završne isplate korisnicima temeljem ugovora o bespovratnoj dodjeli sr</w:t>
      </w:r>
      <w:r>
        <w:t xml:space="preserve">edstava </w:t>
      </w:r>
    </w:p>
    <w:p w:rsidR="009520A9" w:rsidRDefault="00770482">
      <w:r>
        <w:t xml:space="preserve">Izračun financijskog plana: </w:t>
      </w:r>
    </w:p>
    <w:p w:rsidR="009520A9" w:rsidRDefault="00770482">
      <w:r>
        <w:t>Do kraja 2024. godine planirana je jedna završna isplata korisniku u okviru programa Europske snage solidarnosti. Za projekte osposobljavanja i evaluacije (TEC) i aktivnosti umrežavanja (NET) nisu planirana sredstva na</w:t>
      </w:r>
      <w:r>
        <w:t xml:space="preserve"> ovoj aktivnosti budući da je provedba tih aktivnosti završila krajem 2021. godine. </w:t>
      </w:r>
    </w:p>
    <w:p w:rsidR="009520A9" w:rsidRDefault="00770482">
      <w:r>
        <w:t>Budući da su sve aktivnosti u okviru projekata završile u 2023. godini te je preostala samo jedna isplata po analizi završnog izvješća, pokazatelji rezultata nisu primjenj</w:t>
      </w:r>
      <w:r>
        <w:t>ivi u okviru financijskog plana za 2024. godinu.</w:t>
      </w:r>
    </w:p>
    <w:p w:rsidR="009520A9" w:rsidRDefault="00770482">
      <w:pPr>
        <w:pStyle w:val="Heading4"/>
      </w:pPr>
      <w:r>
        <w:t>A818060 EURYDICE EUROPSKA MREŽA ZA PODATKE I ANALIZE O SUSTAVIMA OBRAZOVANJA</w:t>
      </w:r>
    </w:p>
    <w:p w:rsidR="009520A9" w:rsidRDefault="00770482">
      <w:pPr>
        <w:pStyle w:val="Heading8"/>
        <w:jc w:val="left"/>
      </w:pPr>
      <w:r>
        <w:t>Zakonske i druge pravne osnove</w:t>
      </w:r>
    </w:p>
    <w:p w:rsidR="009520A9" w:rsidRDefault="00770482">
      <w:r>
        <w:t xml:space="preserve">Zakon o Agenciji za mobilnost i programe EU, Uredba (EU) 2021/817 Europskog parlamenta i Vijeća od </w:t>
      </w:r>
      <w:r>
        <w:t>20. svibnja 2021. o uspostavi programa Unije za obrazovanje i osposobljavanje, mlade i sport Erasmus+ te o stavljanju izvan snage Uredbe (EU) br. 1288/2013, Ugovor s Europskom komisijom o provedbi Eurydice mreže</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A818060</w:t>
            </w:r>
          </w:p>
        </w:tc>
        <w:tc>
          <w:tcPr>
            <w:tcW w:w="1632" w:type="dxa"/>
            <w:vAlign w:val="top"/>
          </w:tcPr>
          <w:p w:rsidR="009520A9" w:rsidRDefault="00770482">
            <w:pPr>
              <w:jc w:val="right"/>
            </w:pPr>
            <w:r>
              <w:t>42.957</w:t>
            </w:r>
          </w:p>
        </w:tc>
        <w:tc>
          <w:tcPr>
            <w:tcW w:w="1632" w:type="dxa"/>
            <w:vAlign w:val="top"/>
          </w:tcPr>
          <w:p w:rsidR="009520A9" w:rsidRDefault="00770482">
            <w:pPr>
              <w:jc w:val="right"/>
            </w:pPr>
            <w:r>
              <w:t>81.617</w:t>
            </w:r>
          </w:p>
        </w:tc>
        <w:tc>
          <w:tcPr>
            <w:tcW w:w="1632" w:type="dxa"/>
            <w:vAlign w:val="top"/>
          </w:tcPr>
          <w:p w:rsidR="009520A9" w:rsidRDefault="00770482">
            <w:pPr>
              <w:jc w:val="right"/>
            </w:pPr>
            <w:r>
              <w:t>85.397</w:t>
            </w:r>
          </w:p>
        </w:tc>
        <w:tc>
          <w:tcPr>
            <w:tcW w:w="1632" w:type="dxa"/>
            <w:vAlign w:val="top"/>
          </w:tcPr>
          <w:p w:rsidR="009520A9" w:rsidRDefault="00770482">
            <w:pPr>
              <w:jc w:val="right"/>
            </w:pPr>
            <w:r>
              <w:t>85.397</w:t>
            </w:r>
          </w:p>
        </w:tc>
        <w:tc>
          <w:tcPr>
            <w:tcW w:w="1632" w:type="dxa"/>
            <w:vAlign w:val="top"/>
          </w:tcPr>
          <w:p w:rsidR="009520A9" w:rsidRDefault="00770482">
            <w:pPr>
              <w:jc w:val="right"/>
            </w:pPr>
            <w:r>
              <w:t>94.151</w:t>
            </w:r>
          </w:p>
        </w:tc>
        <w:tc>
          <w:tcPr>
            <w:tcW w:w="510" w:type="dxa"/>
            <w:vAlign w:val="top"/>
          </w:tcPr>
          <w:p w:rsidR="009520A9" w:rsidRDefault="00770482">
            <w:pPr>
              <w:jc w:val="right"/>
            </w:pPr>
            <w:r>
              <w:t>104,6</w:t>
            </w:r>
          </w:p>
        </w:tc>
      </w:tr>
    </w:tbl>
    <w:p w:rsidR="009520A9" w:rsidRDefault="009520A9">
      <w:pPr>
        <w:jc w:val="left"/>
      </w:pPr>
    </w:p>
    <w:p w:rsidR="009520A9" w:rsidRDefault="00770482">
      <w:r>
        <w:t xml:space="preserve">Ova aktivnost provodi se svake godine. </w:t>
      </w:r>
    </w:p>
    <w:p w:rsidR="009520A9" w:rsidRDefault="00770482">
      <w:r>
        <w:t xml:space="preserve">U razdoblju 2024. – 2026. očekuje se ostvarenje sljedećeg: </w:t>
      </w:r>
    </w:p>
    <w:p w:rsidR="009520A9" w:rsidRDefault="00770482">
      <w:r>
        <w:t>Mreža Eurydice pruža potporu i omogućuje europsku suradnju u području cjeloživotnog obrazovanja tako da pruža informacije o obrazovnim sustavima i politikama na svim razinama u 37 država te producira studije o pitanjima vezanim uz europske obrazovne sustav</w:t>
      </w:r>
      <w:r>
        <w:t>e. Zadaća Nacionalne jedinice za Eurydice je pružati informacije i provoditi analize o hrvatskom obrazovnom sustavu i politici te sudjelovanjem u komparativnim analizama utemeljenim na podacima (evidence based) omogućiti usporedbu nacionalnih obrazovnih su</w:t>
      </w:r>
      <w:r>
        <w:t>stava s ciljem njihova poboljšanja i unaprjeđenja. Europska izvršna agencija za obrazovanje i kulturu (EACEA) smještena u Bruxellesu predlaže, koordinira proces i izrađuje komparativne studije uz pomoć nacionalnih jedinica za Eurydice smještenih u 37 zemal</w:t>
      </w:r>
      <w:r>
        <w:t xml:space="preserve">ja koje dostavljaju informacije i podatke o svom obrazovnom sustavu te provjeravaju točnost podataka prikazanih u publikacijama. Sve nacionalne jedinice sudjeluju u zajedničkim aktivnostima mreže Eurydice predefiniranim Programom rada.  </w:t>
      </w:r>
    </w:p>
    <w:p w:rsidR="009520A9" w:rsidRDefault="00770482">
      <w:r>
        <w:t>Ova aktivnost sast</w:t>
      </w:r>
      <w:r>
        <w:t xml:space="preserve">oji se od sljedećih elemenata: </w:t>
      </w:r>
    </w:p>
    <w:p w:rsidR="009520A9" w:rsidRDefault="00770482">
      <w:r>
        <w:t>1.</w:t>
      </w:r>
      <w:r>
        <w:tab/>
        <w:t xml:space="preserve">Rashodi za zaposlene </w:t>
      </w:r>
    </w:p>
    <w:p w:rsidR="009520A9" w:rsidRDefault="00770482">
      <w:r>
        <w:t>2.</w:t>
      </w:r>
      <w:r>
        <w:tab/>
        <w:t xml:space="preserve">Materijalni rashodi provedbe mreže na nacionalnoj razini </w:t>
      </w:r>
    </w:p>
    <w:p w:rsidR="009520A9" w:rsidRDefault="00770482">
      <w:r>
        <w:t xml:space="preserve">Izračun financijskog plana: </w:t>
      </w:r>
    </w:p>
    <w:p w:rsidR="009520A9" w:rsidRDefault="00770482">
      <w:r>
        <w:t>Proračun je definiran u skladu s kategorijama prema pravilima financiranja mreže Eurydice pripremljenih od st</w:t>
      </w:r>
      <w:r>
        <w:t>rane Europske izvršne agencije za obrazovanje i kulturu (EACEA). Iznosi koji se pravdaju u okviru aktivnosti odnose se na rashode za zaposlene, službena putovanja (službena putovanja godišnje prema Programu rada), intelektualne i ostale usluge (uključuju t</w:t>
      </w:r>
      <w:r>
        <w:t xml:space="preserve">roškove prijevoda Eurydice publikacija, troškove ispunjavanja, korekcija i dopune Eurydice upitnika i publikacija od strane angažiranih vanjskih stručnjaka i ažuriranje opisa nacionalnih obrazovnih sustava) te troškove računalnih usluga.  </w:t>
      </w:r>
    </w:p>
    <w:p w:rsidR="009520A9" w:rsidRDefault="00770482">
      <w:r>
        <w:t>Plan proračuna z</w:t>
      </w:r>
      <w:r>
        <w:t>a 2024. godinu u dijelu rashoda za zaposlene, povećan je radi zapošljavanja drugog djelatnika radi preuzimanja dodatnih poslova i zadataka u okviru pristupanja Hrvatske OECD-u. Planirane su stavke rashoda za zaposlene u iznosu od ukupno 50.717 EUR za redov</w:t>
      </w:r>
      <w:r>
        <w:t>an rad dvoje djelatnika. Službena putovanja planirana su u većem iznosu (8.000 EUR) u odnosu na tekući plan za 2024. godinu zbog povećanja troškova zrakoplovnih karata i smještajnih kapaciteta u odnosu na troškove prije pandemije. Stavka Intelektualne i os</w:t>
      </w:r>
      <w:r>
        <w:t>obne usluge planirana je u iznosu od 21.000 EUR, a stavka Usluge promidžbe i informiranja zadržana je na razini tekućeg plana te iznosi 1.991 EUR. Za troškove računalnih usluga i ulaganja u računalne programe planirano je ukupno 799,00 EUR. Sredstva su pla</w:t>
      </w:r>
      <w:r>
        <w:t>nirana u okviru izvora 51.</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Eurydice publikacija prevedenih na hrvatski jezik</w:t>
            </w:r>
          </w:p>
        </w:tc>
        <w:tc>
          <w:tcPr>
            <w:tcW w:w="2245" w:type="dxa"/>
            <w:vAlign w:val="top"/>
          </w:tcPr>
          <w:p w:rsidR="009520A9" w:rsidRDefault="00770482">
            <w:pPr>
              <w:pStyle w:val="CellColumn"/>
              <w:jc w:val="left"/>
            </w:pPr>
            <w:r>
              <w:rPr>
                <w:rFonts w:cs="Times New Roman"/>
              </w:rPr>
              <w:t>Pokazatelj obuhvaća broj prevedenih publikacija koje je izradila Europska izvršna agencija za obrazovanje i kulturu (EACEA). (koordinirajuća jedinica za mrežu Eurydice) na hrvatski jezik prema programu</w:t>
            </w:r>
            <w:r>
              <w:rPr>
                <w:rFonts w:cs="Times New Roman"/>
              </w:rPr>
              <w:t xml:space="preserve"> rada za Nacionalnu jedinicu za Eurydice definiranom za jednogodišnje razdoblje. Povećanje broja prevedenih publikacija na hrvatski jezik ukazuje na povećanje vidljivosti mreže Eurydice i njezinih aktivnosti te bolju informiranost stručne i šire javnosti o</w:t>
            </w:r>
            <w:r>
              <w:rPr>
                <w:rFonts w:cs="Times New Roman"/>
              </w:rPr>
              <w:t xml:space="preserve"> obrazovnim sustavima.</w:t>
            </w:r>
          </w:p>
        </w:tc>
        <w:tc>
          <w:tcPr>
            <w:tcW w:w="918" w:type="dxa"/>
          </w:tcPr>
          <w:p w:rsidR="009520A9" w:rsidRDefault="00770482">
            <w:pPr>
              <w:jc w:val="center"/>
            </w:pPr>
            <w:r>
              <w:t>Broj</w:t>
            </w:r>
          </w:p>
        </w:tc>
        <w:tc>
          <w:tcPr>
            <w:tcW w:w="918" w:type="dxa"/>
          </w:tcPr>
          <w:p w:rsidR="009520A9" w:rsidRDefault="00770482">
            <w:pPr>
              <w:jc w:val="center"/>
            </w:pPr>
            <w:r>
              <w:t>3</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4</w:t>
            </w:r>
          </w:p>
        </w:tc>
        <w:tc>
          <w:tcPr>
            <w:tcW w:w="918" w:type="dxa"/>
          </w:tcPr>
          <w:p w:rsidR="009520A9" w:rsidRDefault="00770482">
            <w:pPr>
              <w:jc w:val="center"/>
            </w:pPr>
            <w:r>
              <w:t>5</w:t>
            </w:r>
          </w:p>
        </w:tc>
        <w:tc>
          <w:tcPr>
            <w:tcW w:w="918" w:type="dxa"/>
          </w:tcPr>
          <w:p w:rsidR="009520A9" w:rsidRDefault="00770482">
            <w:pPr>
              <w:jc w:val="center"/>
            </w:pPr>
            <w:r>
              <w:t>6</w:t>
            </w:r>
          </w:p>
        </w:tc>
      </w:tr>
      <w:tr w:rsidR="009520A9">
        <w:trPr>
          <w:jc w:val="center"/>
        </w:trPr>
        <w:tc>
          <w:tcPr>
            <w:tcW w:w="2245" w:type="dxa"/>
            <w:vAlign w:val="top"/>
          </w:tcPr>
          <w:p w:rsidR="009520A9" w:rsidRDefault="00770482">
            <w:pPr>
              <w:pStyle w:val="CellColumn"/>
              <w:jc w:val="left"/>
            </w:pPr>
            <w:r>
              <w:rPr>
                <w:rFonts w:cs="Times New Roman"/>
              </w:rPr>
              <w:t>Broj novinskih članaka objavljenih na temu Eurydice publikacija i aktivnosti</w:t>
            </w:r>
          </w:p>
        </w:tc>
        <w:tc>
          <w:tcPr>
            <w:tcW w:w="2245" w:type="dxa"/>
            <w:vAlign w:val="top"/>
          </w:tcPr>
          <w:p w:rsidR="009520A9" w:rsidRDefault="00770482">
            <w:pPr>
              <w:pStyle w:val="CellColumn"/>
              <w:jc w:val="left"/>
            </w:pPr>
            <w:r>
              <w:rPr>
                <w:rFonts w:cs="Times New Roman"/>
              </w:rPr>
              <w:t>Pokazatelj obuhvaća broj novinskih članaka objavljenih na temu Eurydice publikacija i aktivnosti objavljenih u tiskanim i elektroničkim medijima na lokalnoj, regionalnoj ili nacionalnoj razini. Povećanje broja ukazuje na povećanje vidljivosti mreže Eurydic</w:t>
            </w:r>
            <w:r>
              <w:rPr>
                <w:rFonts w:cs="Times New Roman"/>
              </w:rPr>
              <w:t>e i njezinih aktivnosti među širom javnosti.</w:t>
            </w:r>
          </w:p>
        </w:tc>
        <w:tc>
          <w:tcPr>
            <w:tcW w:w="918" w:type="dxa"/>
          </w:tcPr>
          <w:p w:rsidR="009520A9" w:rsidRDefault="00770482">
            <w:pPr>
              <w:jc w:val="center"/>
            </w:pPr>
            <w:r>
              <w:t>Broj</w:t>
            </w:r>
          </w:p>
        </w:tc>
        <w:tc>
          <w:tcPr>
            <w:tcW w:w="918" w:type="dxa"/>
          </w:tcPr>
          <w:p w:rsidR="009520A9" w:rsidRDefault="00770482">
            <w:pPr>
              <w:jc w:val="center"/>
            </w:pPr>
            <w:r>
              <w:t>10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11</w:t>
            </w:r>
          </w:p>
        </w:tc>
        <w:tc>
          <w:tcPr>
            <w:tcW w:w="918" w:type="dxa"/>
          </w:tcPr>
          <w:p w:rsidR="009520A9" w:rsidRDefault="00770482">
            <w:pPr>
              <w:jc w:val="center"/>
            </w:pPr>
            <w:r>
              <w:t>12</w:t>
            </w:r>
          </w:p>
        </w:tc>
        <w:tc>
          <w:tcPr>
            <w:tcW w:w="918" w:type="dxa"/>
          </w:tcPr>
          <w:p w:rsidR="009520A9" w:rsidRDefault="00770482">
            <w:pPr>
              <w:jc w:val="center"/>
            </w:pPr>
            <w:r>
              <w:t>13</w:t>
            </w:r>
          </w:p>
        </w:tc>
      </w:tr>
    </w:tbl>
    <w:p w:rsidR="009520A9" w:rsidRDefault="009520A9">
      <w:pPr>
        <w:jc w:val="left"/>
      </w:pPr>
    </w:p>
    <w:p w:rsidR="009520A9" w:rsidRDefault="00770482">
      <w:pPr>
        <w:pStyle w:val="Heading4"/>
      </w:pPr>
      <w:r>
        <w:t>A818061 ERASMUS PLUS - SUFINANCIRANJE – DIO PROVEDBE MLADI</w:t>
      </w:r>
    </w:p>
    <w:p w:rsidR="009520A9" w:rsidRDefault="00770482">
      <w:pPr>
        <w:pStyle w:val="Heading8"/>
        <w:jc w:val="left"/>
      </w:pPr>
      <w:r>
        <w:t>Zakonske i druge pravne osnove</w:t>
      </w:r>
    </w:p>
    <w:p w:rsidR="009520A9" w:rsidRDefault="00770482">
      <w:r>
        <w:t xml:space="preserve">Zakon o Agenciji za mobilnost i programe EU, Uredba (EU) 2021/817 Europskog parlamenta i Vijeća </w:t>
      </w:r>
      <w:r>
        <w:t>od 20. svibnja 2021. o uspostavi programa Unije za obrazovanje i osposobljavanje, mlade i sport Erasmus+ te o stavljanju izvan snage Uredbe (EU) br. 1288/2013, Ugovori s Europskom komisijom o provedbi programa i projekata.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A818061</w:t>
            </w:r>
          </w:p>
        </w:tc>
        <w:tc>
          <w:tcPr>
            <w:tcW w:w="1632" w:type="dxa"/>
            <w:vAlign w:val="top"/>
          </w:tcPr>
          <w:p w:rsidR="009520A9" w:rsidRDefault="00770482">
            <w:pPr>
              <w:jc w:val="right"/>
            </w:pPr>
            <w:r>
              <w:t>309.474</w:t>
            </w:r>
          </w:p>
        </w:tc>
        <w:tc>
          <w:tcPr>
            <w:tcW w:w="1632" w:type="dxa"/>
            <w:vAlign w:val="top"/>
          </w:tcPr>
          <w:p w:rsidR="009520A9" w:rsidRDefault="00770482">
            <w:pPr>
              <w:jc w:val="right"/>
            </w:pPr>
            <w:r>
              <w:t>331.969</w:t>
            </w:r>
          </w:p>
        </w:tc>
        <w:tc>
          <w:tcPr>
            <w:tcW w:w="1632" w:type="dxa"/>
            <w:vAlign w:val="top"/>
          </w:tcPr>
          <w:p w:rsidR="009520A9" w:rsidRDefault="00770482">
            <w:pPr>
              <w:jc w:val="right"/>
            </w:pPr>
            <w:r>
              <w:t>346.215</w:t>
            </w:r>
          </w:p>
        </w:tc>
        <w:tc>
          <w:tcPr>
            <w:tcW w:w="1632" w:type="dxa"/>
            <w:vAlign w:val="top"/>
          </w:tcPr>
          <w:p w:rsidR="009520A9" w:rsidRDefault="00770482">
            <w:pPr>
              <w:jc w:val="right"/>
            </w:pPr>
            <w:r>
              <w:t>363.525</w:t>
            </w:r>
          </w:p>
        </w:tc>
        <w:tc>
          <w:tcPr>
            <w:tcW w:w="1632" w:type="dxa"/>
            <w:vAlign w:val="top"/>
          </w:tcPr>
          <w:p w:rsidR="009520A9" w:rsidRDefault="00770482">
            <w:pPr>
              <w:jc w:val="right"/>
            </w:pPr>
            <w:r>
              <w:t>359.340</w:t>
            </w:r>
          </w:p>
        </w:tc>
        <w:tc>
          <w:tcPr>
            <w:tcW w:w="510" w:type="dxa"/>
            <w:vAlign w:val="top"/>
          </w:tcPr>
          <w:p w:rsidR="009520A9" w:rsidRDefault="00770482">
            <w:pPr>
              <w:jc w:val="right"/>
            </w:pPr>
            <w:r>
              <w:t>104,3</w:t>
            </w:r>
          </w:p>
        </w:tc>
      </w:tr>
    </w:tbl>
    <w:p w:rsidR="009520A9" w:rsidRDefault="009520A9">
      <w:pPr>
        <w:jc w:val="left"/>
      </w:pPr>
    </w:p>
    <w:p w:rsidR="009520A9" w:rsidRDefault="00770482">
      <w:r>
        <w:t xml:space="preserve">Ova aktivnost provodi se svake godine i vezana je uz provedbu EU programa Erasmus+ u području mladih na nacionalnoj razini. </w:t>
      </w:r>
    </w:p>
    <w:p w:rsidR="009520A9" w:rsidRDefault="00770482">
      <w:r>
        <w:t xml:space="preserve">Ova aktivnost sastoji se od sljedećih elemenata: </w:t>
      </w:r>
    </w:p>
    <w:p w:rsidR="009520A9" w:rsidRDefault="00770482">
      <w:r>
        <w:t>1.</w:t>
      </w:r>
      <w:r>
        <w:tab/>
        <w:t xml:space="preserve">Rashodi za zaposlene </w:t>
      </w:r>
    </w:p>
    <w:p w:rsidR="009520A9" w:rsidRDefault="00770482">
      <w:r>
        <w:t>2.</w:t>
      </w:r>
      <w:r>
        <w:tab/>
        <w:t xml:space="preserve">Materijalni rashodi provedbe programa Erasmus+ u području mladih u RH </w:t>
      </w:r>
    </w:p>
    <w:p w:rsidR="009520A9" w:rsidRDefault="00770482">
      <w:r>
        <w:t xml:space="preserve">Izračun financijskog plana: </w:t>
      </w:r>
    </w:p>
    <w:p w:rsidR="009520A9" w:rsidRDefault="00770482">
      <w:r>
        <w:t>Plan proračuna za 2024. godinu povećan je u manjoj mjeri u odnosu na tekući pl</w:t>
      </w:r>
      <w:r>
        <w:t xml:space="preserve">an iz 2023. godine radi povećanja troškova službenih putovanja. </w:t>
      </w:r>
    </w:p>
    <w:p w:rsidR="009520A9" w:rsidRDefault="00770482">
      <w:r>
        <w:t>U 2024. godini planirana su sredstva za redovan rad radnika u iznosu od 306.314 EUR. Planirani su i materijalni troškovi, točnije dio režijskih troškova. Stavka Službena putovanja planirana j</w:t>
      </w:r>
      <w:r>
        <w:t>e u većem iznosu od tekućeg plana za 2023. godinu radi povećanja broja fizičkih putovanja te iznosi 10.107 EUR. Za zakupnine i najamnine planirano je 4.100 EUR. Usluge promidžbe i informiranja planirane su u iznosu od 5.000 EUR. Za naknade troškova osobama</w:t>
      </w:r>
      <w:r>
        <w:t xml:space="preserve"> izvan radnog odnosa planirano je 2.900 EUR. Za uredsku opremu i namještaj planirano je 694 EUR, a za reprezentaciju 700 EUR. Na stavci za intelektualne i osobne usluge 13.000 EUR te za ostale usluge 2.900 EUR. Sredstva su planirana na izvoru 12.</w:t>
      </w:r>
    </w:p>
    <w:p w:rsidR="009520A9" w:rsidRDefault="00770482">
      <w:pPr>
        <w:pStyle w:val="Heading8"/>
        <w:jc w:val="left"/>
      </w:pPr>
      <w:r>
        <w:t>Pokazatel</w:t>
      </w:r>
      <w:r>
        <w:t>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ocijenjenih prijava</w:t>
            </w:r>
          </w:p>
        </w:tc>
        <w:tc>
          <w:tcPr>
            <w:tcW w:w="2245" w:type="dxa"/>
            <w:vAlign w:val="top"/>
          </w:tcPr>
          <w:p w:rsidR="009520A9" w:rsidRDefault="00770482">
            <w:pPr>
              <w:pStyle w:val="CellColumn"/>
              <w:jc w:val="left"/>
            </w:pPr>
            <w:r>
              <w:rPr>
                <w:rFonts w:cs="Times New Roman"/>
              </w:rPr>
              <w:t>Ocijenjene projektne prijave (akreditacije i projekti)</w:t>
            </w:r>
          </w:p>
        </w:tc>
        <w:tc>
          <w:tcPr>
            <w:tcW w:w="918" w:type="dxa"/>
          </w:tcPr>
          <w:p w:rsidR="009520A9" w:rsidRDefault="00770482">
            <w:pPr>
              <w:jc w:val="center"/>
            </w:pPr>
            <w:r>
              <w:t>Broj</w:t>
            </w:r>
          </w:p>
        </w:tc>
        <w:tc>
          <w:tcPr>
            <w:tcW w:w="918" w:type="dxa"/>
          </w:tcPr>
          <w:p w:rsidR="009520A9" w:rsidRDefault="00770482">
            <w:pPr>
              <w:jc w:val="center"/>
            </w:pPr>
            <w:r>
              <w:t>200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210</w:t>
            </w:r>
          </w:p>
        </w:tc>
        <w:tc>
          <w:tcPr>
            <w:tcW w:w="918" w:type="dxa"/>
          </w:tcPr>
          <w:p w:rsidR="009520A9" w:rsidRDefault="00770482">
            <w:pPr>
              <w:jc w:val="center"/>
            </w:pPr>
            <w:r>
              <w:t>220</w:t>
            </w:r>
          </w:p>
        </w:tc>
        <w:tc>
          <w:tcPr>
            <w:tcW w:w="918" w:type="dxa"/>
          </w:tcPr>
          <w:p w:rsidR="009520A9" w:rsidRDefault="00770482">
            <w:pPr>
              <w:jc w:val="center"/>
            </w:pPr>
            <w:r>
              <w:t>230</w:t>
            </w:r>
          </w:p>
        </w:tc>
      </w:tr>
      <w:tr w:rsidR="009520A9">
        <w:trPr>
          <w:jc w:val="center"/>
        </w:trPr>
        <w:tc>
          <w:tcPr>
            <w:tcW w:w="2245" w:type="dxa"/>
            <w:vAlign w:val="top"/>
          </w:tcPr>
          <w:p w:rsidR="009520A9" w:rsidRDefault="00770482">
            <w:pPr>
              <w:pStyle w:val="CellColumn"/>
              <w:jc w:val="left"/>
            </w:pPr>
            <w:r>
              <w:rPr>
                <w:rFonts w:cs="Times New Roman"/>
              </w:rPr>
              <w:t>Broj ugovora s vanjskim suradnicima</w:t>
            </w:r>
          </w:p>
        </w:tc>
        <w:tc>
          <w:tcPr>
            <w:tcW w:w="2245" w:type="dxa"/>
            <w:vAlign w:val="top"/>
          </w:tcPr>
          <w:p w:rsidR="009520A9" w:rsidRDefault="00770482">
            <w:pPr>
              <w:pStyle w:val="CellColumn"/>
              <w:jc w:val="left"/>
            </w:pPr>
            <w:r>
              <w:rPr>
                <w:rFonts w:cs="Times New Roman"/>
              </w:rPr>
              <w:t>Ostali intelektualni troškovi (ugovoreni delegati i ambasadori programa)</w:t>
            </w:r>
          </w:p>
        </w:tc>
        <w:tc>
          <w:tcPr>
            <w:tcW w:w="918" w:type="dxa"/>
          </w:tcPr>
          <w:p w:rsidR="009520A9" w:rsidRDefault="00770482">
            <w:pPr>
              <w:jc w:val="center"/>
            </w:pPr>
            <w:r>
              <w:t>Broj</w:t>
            </w:r>
          </w:p>
        </w:tc>
        <w:tc>
          <w:tcPr>
            <w:tcW w:w="918" w:type="dxa"/>
          </w:tcPr>
          <w:p w:rsidR="009520A9" w:rsidRDefault="00770482">
            <w:pPr>
              <w:jc w:val="center"/>
            </w:pPr>
            <w:r>
              <w:t>15</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22</w:t>
            </w:r>
          </w:p>
        </w:tc>
        <w:tc>
          <w:tcPr>
            <w:tcW w:w="918" w:type="dxa"/>
          </w:tcPr>
          <w:p w:rsidR="009520A9" w:rsidRDefault="00770482">
            <w:pPr>
              <w:jc w:val="center"/>
            </w:pPr>
            <w:r>
              <w:t>25</w:t>
            </w:r>
          </w:p>
        </w:tc>
        <w:tc>
          <w:tcPr>
            <w:tcW w:w="918" w:type="dxa"/>
          </w:tcPr>
          <w:p w:rsidR="009520A9" w:rsidRDefault="00770482">
            <w:pPr>
              <w:jc w:val="center"/>
            </w:pPr>
            <w:r>
              <w:t>27</w:t>
            </w:r>
          </w:p>
        </w:tc>
      </w:tr>
      <w:tr w:rsidR="009520A9">
        <w:trPr>
          <w:jc w:val="center"/>
        </w:trPr>
        <w:tc>
          <w:tcPr>
            <w:tcW w:w="2245" w:type="dxa"/>
            <w:vAlign w:val="top"/>
          </w:tcPr>
          <w:p w:rsidR="009520A9" w:rsidRDefault="00770482">
            <w:pPr>
              <w:pStyle w:val="CellColumn"/>
              <w:jc w:val="left"/>
            </w:pPr>
            <w:r>
              <w:rPr>
                <w:rFonts w:cs="Times New Roman"/>
              </w:rPr>
              <w:t>Broj edukacija</w:t>
            </w:r>
          </w:p>
        </w:tc>
        <w:tc>
          <w:tcPr>
            <w:tcW w:w="2245" w:type="dxa"/>
            <w:vAlign w:val="top"/>
          </w:tcPr>
          <w:p w:rsidR="009520A9" w:rsidRDefault="00770482">
            <w:pPr>
              <w:pStyle w:val="CellColumn"/>
              <w:jc w:val="left"/>
            </w:pPr>
            <w:r>
              <w:rPr>
                <w:rFonts w:cs="Times New Roman"/>
              </w:rPr>
              <w:t>Radionice i webinari za zainteresiranu javnost i korisnike</w:t>
            </w:r>
          </w:p>
        </w:tc>
        <w:tc>
          <w:tcPr>
            <w:tcW w:w="918" w:type="dxa"/>
          </w:tcPr>
          <w:p w:rsidR="009520A9" w:rsidRDefault="00770482">
            <w:pPr>
              <w:jc w:val="center"/>
            </w:pPr>
            <w:r>
              <w:t>Broj</w:t>
            </w:r>
          </w:p>
        </w:tc>
        <w:tc>
          <w:tcPr>
            <w:tcW w:w="918" w:type="dxa"/>
          </w:tcPr>
          <w:p w:rsidR="009520A9" w:rsidRDefault="00770482">
            <w:pPr>
              <w:jc w:val="center"/>
            </w:pPr>
            <w:r>
              <w:t>7</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9</w:t>
            </w:r>
          </w:p>
        </w:tc>
        <w:tc>
          <w:tcPr>
            <w:tcW w:w="918" w:type="dxa"/>
          </w:tcPr>
          <w:p w:rsidR="009520A9" w:rsidRDefault="00770482">
            <w:pPr>
              <w:jc w:val="center"/>
            </w:pPr>
            <w:r>
              <w:t>11</w:t>
            </w:r>
          </w:p>
        </w:tc>
        <w:tc>
          <w:tcPr>
            <w:tcW w:w="918" w:type="dxa"/>
          </w:tcPr>
          <w:p w:rsidR="009520A9" w:rsidRDefault="00770482">
            <w:pPr>
              <w:jc w:val="center"/>
            </w:pPr>
            <w:r>
              <w:t>12</w:t>
            </w:r>
          </w:p>
        </w:tc>
      </w:tr>
    </w:tbl>
    <w:p w:rsidR="009520A9" w:rsidRDefault="009520A9">
      <w:pPr>
        <w:jc w:val="left"/>
      </w:pPr>
    </w:p>
    <w:p w:rsidR="009520A9" w:rsidRDefault="00770482">
      <w:pPr>
        <w:pStyle w:val="Heading4"/>
      </w:pPr>
      <w:r>
        <w:t>A818063 EUROPSKE SNAGE SOLIDARNOSTI - PROJEKTI ZA KORISNIKE OD 2021. DO 2027.</w:t>
      </w:r>
    </w:p>
    <w:p w:rsidR="009520A9" w:rsidRDefault="00770482">
      <w:pPr>
        <w:pStyle w:val="Heading8"/>
        <w:jc w:val="left"/>
      </w:pPr>
      <w:r>
        <w:t>Zakonske i druge pravne osnove</w:t>
      </w:r>
    </w:p>
    <w:p w:rsidR="009520A9" w:rsidRDefault="00770482">
      <w:r>
        <w:t xml:space="preserve">Zakon o Agenciji za mobilnost i programe EU, Uredba (EU) 2021/888 Europskog parlamenta i Vijeća od 20. svibnja 2021. o uspostavi programa Europske </w:t>
      </w:r>
      <w:r>
        <w:t>snage solidarnosti i o stavljanju izvan snage uredaba (EU) 2018/1475 i (EU) br. 375/2014., Ugovori s Europskom komisijom o provedbi programa i projekata.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A818063</w:t>
            </w:r>
          </w:p>
        </w:tc>
        <w:tc>
          <w:tcPr>
            <w:tcW w:w="1632" w:type="dxa"/>
            <w:vAlign w:val="top"/>
          </w:tcPr>
          <w:p w:rsidR="009520A9" w:rsidRDefault="00770482">
            <w:pPr>
              <w:jc w:val="right"/>
            </w:pPr>
            <w:r>
              <w:t>1.971.169</w:t>
            </w:r>
          </w:p>
        </w:tc>
        <w:tc>
          <w:tcPr>
            <w:tcW w:w="1632" w:type="dxa"/>
            <w:vAlign w:val="top"/>
          </w:tcPr>
          <w:p w:rsidR="009520A9" w:rsidRDefault="00770482">
            <w:pPr>
              <w:jc w:val="right"/>
            </w:pPr>
            <w:r>
              <w:t>2.167.334</w:t>
            </w:r>
          </w:p>
        </w:tc>
        <w:tc>
          <w:tcPr>
            <w:tcW w:w="1632" w:type="dxa"/>
            <w:vAlign w:val="top"/>
          </w:tcPr>
          <w:p w:rsidR="009520A9" w:rsidRDefault="00770482">
            <w:pPr>
              <w:jc w:val="right"/>
            </w:pPr>
            <w:r>
              <w:t>2.185.816</w:t>
            </w:r>
          </w:p>
        </w:tc>
        <w:tc>
          <w:tcPr>
            <w:tcW w:w="1632" w:type="dxa"/>
            <w:vAlign w:val="top"/>
          </w:tcPr>
          <w:p w:rsidR="009520A9" w:rsidRDefault="00770482">
            <w:pPr>
              <w:jc w:val="right"/>
            </w:pPr>
            <w:r>
              <w:t>2.256.800</w:t>
            </w:r>
          </w:p>
        </w:tc>
        <w:tc>
          <w:tcPr>
            <w:tcW w:w="1632" w:type="dxa"/>
            <w:vAlign w:val="top"/>
          </w:tcPr>
          <w:p w:rsidR="009520A9" w:rsidRDefault="00770482">
            <w:pPr>
              <w:jc w:val="right"/>
            </w:pPr>
            <w:r>
              <w:t>2.347.071</w:t>
            </w:r>
          </w:p>
        </w:tc>
        <w:tc>
          <w:tcPr>
            <w:tcW w:w="510" w:type="dxa"/>
            <w:vAlign w:val="top"/>
          </w:tcPr>
          <w:p w:rsidR="009520A9" w:rsidRDefault="00770482">
            <w:pPr>
              <w:jc w:val="right"/>
            </w:pPr>
            <w:r>
              <w:t>100,9</w:t>
            </w:r>
          </w:p>
        </w:tc>
      </w:tr>
    </w:tbl>
    <w:p w:rsidR="009520A9" w:rsidRDefault="009520A9">
      <w:pPr>
        <w:jc w:val="left"/>
      </w:pPr>
    </w:p>
    <w:p w:rsidR="009520A9" w:rsidRDefault="00770482">
      <w:r>
        <w:t>Provedba ove aktivnosti započela je 2021. godine i nastavlja se provoditi svake godine do završetka programa Europske snage solidarnosti 2021.-2027. EK dostavlja program rada svim državama članicama sa propisanim financijskim iznosima potpore. Program rada</w:t>
      </w:r>
      <w:r>
        <w:t xml:space="preserve"> revidira se tijekom godine i Nacionalna agencija (AMPEU) potpisuje dodatak ugovora s EK u kojem može doći do korekcije inicijalnog iznosa.  </w:t>
      </w:r>
    </w:p>
    <w:p w:rsidR="009520A9" w:rsidRDefault="00770482">
      <w:r>
        <w:t xml:space="preserve">U razdoblju 2024. – 2026. očekuje se ostvarenje sljedećeg: </w:t>
      </w:r>
    </w:p>
    <w:p w:rsidR="009520A9" w:rsidRDefault="00770482">
      <w:r>
        <w:t>Program Europske snage solidarnosti 2021.-2027. uključ</w:t>
      </w:r>
      <w:r>
        <w:t>uje provedbu aktivnosti volontiranja, projekte solidarnosti, aktivnosti umrežavanja, provedbu popratnih aktivnosti za pružanje podrške mladim osobama uključenima u program te informativnih i promotivnih aktivnosti. Sve organizacije koje žele provoditi proj</w:t>
      </w:r>
      <w:r>
        <w:t xml:space="preserve">ekte u području volontiranja moraju posjedovati oznaku kvalitete kojom dokazuju svoje kapacitete i stručnost. Nacionalne agencije dodjeljuju oznaku kvalitete na temelju dostavljene prijave.  </w:t>
      </w:r>
    </w:p>
    <w:p w:rsidR="009520A9" w:rsidRDefault="00770482">
      <w:r>
        <w:t xml:space="preserve">Ova aktivnost sastoji se od sljedećih elemenata: </w:t>
      </w:r>
    </w:p>
    <w:p w:rsidR="009520A9" w:rsidRDefault="00770482">
      <w:r>
        <w:t>1.</w:t>
      </w:r>
      <w:r>
        <w:tab/>
        <w:t>Isplate pre</w:t>
      </w:r>
      <w:r>
        <w:t xml:space="preserve">dujma, privremene isplate i završne isplate korisnicima temeljem ugovora o bespovratnoj dodjeli sredstava </w:t>
      </w:r>
    </w:p>
    <w:p w:rsidR="009520A9" w:rsidRDefault="00770482">
      <w:r>
        <w:t>2.</w:t>
      </w:r>
      <w:r>
        <w:tab/>
        <w:t>Materijalni rashodi provedbe programa Europske snage solidarnosti (za provedbu Aktivnosti umrežavanja u okviru programa Europske snage solidarnost</w:t>
      </w:r>
      <w:r>
        <w:t xml:space="preserve">i (NET) i Ciklusa osposobljavanja i vrednovanja TEC) </w:t>
      </w:r>
    </w:p>
    <w:p w:rsidR="009520A9" w:rsidRDefault="00770482">
      <w:r>
        <w:t xml:space="preserve">Izračun financijskog plana: </w:t>
      </w:r>
    </w:p>
    <w:p w:rsidR="009520A9" w:rsidRDefault="00770482">
      <w:r>
        <w:t>Prijedlog proračuna za 2024. godinu kao i projekcije za 2025. i 2026. godinu u skladu su s predviđenom alokacijom sredstava za Republiku Hrvatsku te Višegodišnjim financijsk</w:t>
      </w:r>
      <w:r>
        <w:t>im okvirom Europske unije. U 2024. godini očekuju se isplate završnih isplata projekata iz natječajne godine 2021., 2022. i 2023. te predujmova za novougovorene projekte iz natječajne godine 2024., kao i predujmovi za projekte s drugog roka natječajne godi</w:t>
      </w:r>
      <w:r>
        <w:t>ne 2023. Tijekom godine planira se i provedba Aktivnosti umrežavanja u okviru programa Europske snage solidarnosti (NET) i Ciklusa osposobljavanja i vrednovanja (TEC) iz natječajnih godina 2023. i 2024. za što je planirano 200.000 EUR. Polazna vrijednost i</w:t>
      </w:r>
      <w:r>
        <w:t xml:space="preserve"> ciljane vrijednosti revidirane su sukladno postignutim rezultatima u 2023. godini te projekcijama proračuna za projekte za razdoblje 2024.-2026. koje je dostavila Europska komisija.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ugovorenih volonterskih projekata</w:t>
            </w:r>
          </w:p>
        </w:tc>
        <w:tc>
          <w:tcPr>
            <w:tcW w:w="2245" w:type="dxa"/>
            <w:vAlign w:val="top"/>
          </w:tcPr>
          <w:p w:rsidR="009520A9" w:rsidRDefault="00770482">
            <w:pPr>
              <w:pStyle w:val="CellColumn"/>
              <w:jc w:val="left"/>
            </w:pPr>
            <w:r>
              <w:rPr>
                <w:rFonts w:cs="Times New Roman"/>
              </w:rPr>
              <w:t>Broj  volonterskih projekata koji su ugovoreni u okviru dotičnoga Poziva</w:t>
            </w:r>
          </w:p>
        </w:tc>
        <w:tc>
          <w:tcPr>
            <w:tcW w:w="918" w:type="dxa"/>
          </w:tcPr>
          <w:p w:rsidR="009520A9" w:rsidRDefault="00770482">
            <w:pPr>
              <w:jc w:val="center"/>
            </w:pPr>
            <w:r>
              <w:t>broj</w:t>
            </w:r>
          </w:p>
        </w:tc>
        <w:tc>
          <w:tcPr>
            <w:tcW w:w="918" w:type="dxa"/>
          </w:tcPr>
          <w:p w:rsidR="009520A9" w:rsidRDefault="00770482">
            <w:pPr>
              <w:jc w:val="center"/>
            </w:pPr>
            <w:r>
              <w:t>50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55</w:t>
            </w:r>
          </w:p>
        </w:tc>
        <w:tc>
          <w:tcPr>
            <w:tcW w:w="918" w:type="dxa"/>
          </w:tcPr>
          <w:p w:rsidR="009520A9" w:rsidRDefault="00770482">
            <w:pPr>
              <w:jc w:val="center"/>
            </w:pPr>
            <w:r>
              <w:t>62</w:t>
            </w:r>
          </w:p>
        </w:tc>
        <w:tc>
          <w:tcPr>
            <w:tcW w:w="918" w:type="dxa"/>
          </w:tcPr>
          <w:p w:rsidR="009520A9" w:rsidRDefault="00770482">
            <w:pPr>
              <w:jc w:val="center"/>
            </w:pPr>
            <w:r>
              <w:t>70</w:t>
            </w:r>
          </w:p>
        </w:tc>
      </w:tr>
      <w:tr w:rsidR="009520A9">
        <w:trPr>
          <w:jc w:val="center"/>
        </w:trPr>
        <w:tc>
          <w:tcPr>
            <w:tcW w:w="2245" w:type="dxa"/>
            <w:vAlign w:val="top"/>
          </w:tcPr>
          <w:p w:rsidR="009520A9" w:rsidRDefault="00770482">
            <w:pPr>
              <w:pStyle w:val="CellColumn"/>
              <w:jc w:val="left"/>
            </w:pPr>
            <w:r>
              <w:rPr>
                <w:rFonts w:cs="Times New Roman"/>
              </w:rPr>
              <w:t>Broj sudionika u ugovorenim volonterskim projektima</w:t>
            </w:r>
          </w:p>
        </w:tc>
        <w:tc>
          <w:tcPr>
            <w:tcW w:w="2245" w:type="dxa"/>
            <w:vAlign w:val="top"/>
          </w:tcPr>
          <w:p w:rsidR="009520A9" w:rsidRDefault="00770482">
            <w:pPr>
              <w:pStyle w:val="CellColumn"/>
              <w:jc w:val="left"/>
            </w:pPr>
            <w:r>
              <w:rPr>
                <w:rFonts w:cs="Times New Roman"/>
              </w:rPr>
              <w:t>Broj volontera u volonterskim projektima koji su ugovoreni u okviru dotičnoga Poziva</w:t>
            </w:r>
          </w:p>
        </w:tc>
        <w:tc>
          <w:tcPr>
            <w:tcW w:w="918" w:type="dxa"/>
          </w:tcPr>
          <w:p w:rsidR="009520A9" w:rsidRDefault="00770482">
            <w:pPr>
              <w:jc w:val="center"/>
            </w:pPr>
            <w:r>
              <w:t>broj</w:t>
            </w:r>
          </w:p>
        </w:tc>
        <w:tc>
          <w:tcPr>
            <w:tcW w:w="918" w:type="dxa"/>
          </w:tcPr>
          <w:p w:rsidR="009520A9" w:rsidRDefault="00770482">
            <w:pPr>
              <w:jc w:val="center"/>
            </w:pPr>
            <w:r>
              <w:t>600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650</w:t>
            </w:r>
          </w:p>
        </w:tc>
        <w:tc>
          <w:tcPr>
            <w:tcW w:w="918" w:type="dxa"/>
          </w:tcPr>
          <w:p w:rsidR="009520A9" w:rsidRDefault="00770482">
            <w:pPr>
              <w:jc w:val="center"/>
            </w:pPr>
            <w:r>
              <w:t>750</w:t>
            </w:r>
          </w:p>
        </w:tc>
        <w:tc>
          <w:tcPr>
            <w:tcW w:w="918" w:type="dxa"/>
          </w:tcPr>
          <w:p w:rsidR="009520A9" w:rsidRDefault="00770482">
            <w:pPr>
              <w:jc w:val="center"/>
            </w:pPr>
            <w:r>
              <w:t>850</w:t>
            </w:r>
          </w:p>
        </w:tc>
      </w:tr>
      <w:tr w:rsidR="009520A9">
        <w:trPr>
          <w:jc w:val="center"/>
        </w:trPr>
        <w:tc>
          <w:tcPr>
            <w:tcW w:w="2245" w:type="dxa"/>
            <w:vAlign w:val="top"/>
          </w:tcPr>
          <w:p w:rsidR="009520A9" w:rsidRDefault="00770482">
            <w:pPr>
              <w:pStyle w:val="CellColumn"/>
              <w:jc w:val="left"/>
            </w:pPr>
            <w:r>
              <w:rPr>
                <w:rFonts w:cs="Times New Roman"/>
              </w:rPr>
              <w:t>Broj ugovorenih projekata solidarnosti</w:t>
            </w:r>
          </w:p>
        </w:tc>
        <w:tc>
          <w:tcPr>
            <w:tcW w:w="2245" w:type="dxa"/>
            <w:vAlign w:val="top"/>
          </w:tcPr>
          <w:p w:rsidR="009520A9" w:rsidRDefault="00770482">
            <w:pPr>
              <w:pStyle w:val="CellColumn"/>
              <w:jc w:val="left"/>
            </w:pPr>
            <w:r>
              <w:rPr>
                <w:rFonts w:cs="Times New Roman"/>
              </w:rPr>
              <w:t>Broj  projekata solidarnosti koji su ugovoreni u okv</w:t>
            </w:r>
            <w:r>
              <w:rPr>
                <w:rFonts w:cs="Times New Roman"/>
              </w:rPr>
              <w:t>iru dotičnoga Poziva</w:t>
            </w:r>
          </w:p>
        </w:tc>
        <w:tc>
          <w:tcPr>
            <w:tcW w:w="918" w:type="dxa"/>
          </w:tcPr>
          <w:p w:rsidR="009520A9" w:rsidRDefault="00770482">
            <w:pPr>
              <w:jc w:val="center"/>
            </w:pPr>
            <w:r>
              <w:t>broj</w:t>
            </w:r>
          </w:p>
        </w:tc>
        <w:tc>
          <w:tcPr>
            <w:tcW w:w="918" w:type="dxa"/>
          </w:tcPr>
          <w:p w:rsidR="009520A9" w:rsidRDefault="00770482">
            <w:pPr>
              <w:jc w:val="center"/>
            </w:pPr>
            <w:r>
              <w:t>25</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30</w:t>
            </w:r>
          </w:p>
        </w:tc>
        <w:tc>
          <w:tcPr>
            <w:tcW w:w="918" w:type="dxa"/>
          </w:tcPr>
          <w:p w:rsidR="009520A9" w:rsidRDefault="00770482">
            <w:pPr>
              <w:jc w:val="center"/>
            </w:pPr>
            <w:r>
              <w:t>35</w:t>
            </w:r>
          </w:p>
        </w:tc>
        <w:tc>
          <w:tcPr>
            <w:tcW w:w="918" w:type="dxa"/>
          </w:tcPr>
          <w:p w:rsidR="009520A9" w:rsidRDefault="00770482">
            <w:pPr>
              <w:jc w:val="center"/>
            </w:pPr>
            <w:r>
              <w:t>40</w:t>
            </w:r>
          </w:p>
        </w:tc>
      </w:tr>
      <w:tr w:rsidR="009520A9">
        <w:trPr>
          <w:jc w:val="center"/>
        </w:trPr>
        <w:tc>
          <w:tcPr>
            <w:tcW w:w="2245" w:type="dxa"/>
            <w:vAlign w:val="top"/>
          </w:tcPr>
          <w:p w:rsidR="009520A9" w:rsidRDefault="00770482">
            <w:pPr>
              <w:pStyle w:val="CellColumn"/>
              <w:jc w:val="left"/>
            </w:pPr>
            <w:r>
              <w:rPr>
                <w:rFonts w:cs="Times New Roman"/>
              </w:rPr>
              <w:t>Broj sudionika u ugovorenim projektima solidarnosti</w:t>
            </w:r>
          </w:p>
        </w:tc>
        <w:tc>
          <w:tcPr>
            <w:tcW w:w="2245" w:type="dxa"/>
            <w:vAlign w:val="top"/>
          </w:tcPr>
          <w:p w:rsidR="009520A9" w:rsidRDefault="00770482">
            <w:pPr>
              <w:pStyle w:val="CellColumn"/>
              <w:jc w:val="left"/>
            </w:pPr>
            <w:r>
              <w:rPr>
                <w:rFonts w:cs="Times New Roman"/>
              </w:rPr>
              <w:t>Broj sudionika u projektima solidarnosti koji su ugovoreni u okviru dotičnoga Poziva</w:t>
            </w:r>
          </w:p>
        </w:tc>
        <w:tc>
          <w:tcPr>
            <w:tcW w:w="918" w:type="dxa"/>
          </w:tcPr>
          <w:p w:rsidR="009520A9" w:rsidRDefault="00770482">
            <w:pPr>
              <w:jc w:val="center"/>
            </w:pPr>
            <w:r>
              <w:t>broj</w:t>
            </w:r>
          </w:p>
        </w:tc>
        <w:tc>
          <w:tcPr>
            <w:tcW w:w="918" w:type="dxa"/>
          </w:tcPr>
          <w:p w:rsidR="009520A9" w:rsidRDefault="00770482">
            <w:pPr>
              <w:jc w:val="center"/>
            </w:pPr>
            <w:r>
              <w:t>100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150</w:t>
            </w:r>
          </w:p>
        </w:tc>
        <w:tc>
          <w:tcPr>
            <w:tcW w:w="918" w:type="dxa"/>
          </w:tcPr>
          <w:p w:rsidR="009520A9" w:rsidRDefault="00770482">
            <w:pPr>
              <w:jc w:val="center"/>
            </w:pPr>
            <w:r>
              <w:t>200</w:t>
            </w:r>
          </w:p>
        </w:tc>
        <w:tc>
          <w:tcPr>
            <w:tcW w:w="918" w:type="dxa"/>
          </w:tcPr>
          <w:p w:rsidR="009520A9" w:rsidRDefault="00770482">
            <w:pPr>
              <w:jc w:val="center"/>
            </w:pPr>
            <w:r>
              <w:t>250</w:t>
            </w:r>
          </w:p>
        </w:tc>
      </w:tr>
    </w:tbl>
    <w:p w:rsidR="009520A9" w:rsidRDefault="009520A9">
      <w:pPr>
        <w:jc w:val="left"/>
      </w:pPr>
    </w:p>
    <w:p w:rsidR="009520A9" w:rsidRDefault="00770482">
      <w:pPr>
        <w:pStyle w:val="Heading4"/>
      </w:pPr>
      <w:r>
        <w:t>A818064 ERASMUS - PROJEKTI  ZA KORISNIKE OBRAZOVANJE OD 2021. DO 2027.</w:t>
      </w:r>
    </w:p>
    <w:p w:rsidR="009520A9" w:rsidRDefault="00770482">
      <w:pPr>
        <w:pStyle w:val="Heading8"/>
        <w:jc w:val="left"/>
      </w:pPr>
      <w:r>
        <w:t>Zakonske i druge pravne osnove</w:t>
      </w:r>
    </w:p>
    <w:p w:rsidR="009520A9" w:rsidRDefault="00770482">
      <w:r>
        <w:t>Zakon o Agenciji za mobilnost i programe EU, Uredba (EU) 2021/817 Europskog parlamenta i Vijeća od 20. svibnja 2021. o uspostavi programa Unije za obrazov</w:t>
      </w:r>
      <w:r>
        <w:t>anje i osposobljavanje, mlade i sport Erasmus+ te o stavljanju izvan snage Uredbe (EU) br. 1288/2013., Ugovori s Europskom komisijom o provedbi programa i projekata.</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A818064</w:t>
            </w:r>
          </w:p>
        </w:tc>
        <w:tc>
          <w:tcPr>
            <w:tcW w:w="1632" w:type="dxa"/>
            <w:vAlign w:val="top"/>
          </w:tcPr>
          <w:p w:rsidR="009520A9" w:rsidRDefault="00770482">
            <w:pPr>
              <w:jc w:val="right"/>
            </w:pPr>
            <w:r>
              <w:t>25.347.690</w:t>
            </w:r>
          </w:p>
        </w:tc>
        <w:tc>
          <w:tcPr>
            <w:tcW w:w="1632" w:type="dxa"/>
            <w:vAlign w:val="top"/>
          </w:tcPr>
          <w:p w:rsidR="009520A9" w:rsidRDefault="00770482">
            <w:pPr>
              <w:jc w:val="right"/>
            </w:pPr>
            <w:r>
              <w:t>33.171.717</w:t>
            </w:r>
          </w:p>
        </w:tc>
        <w:tc>
          <w:tcPr>
            <w:tcW w:w="1632" w:type="dxa"/>
            <w:vAlign w:val="top"/>
          </w:tcPr>
          <w:p w:rsidR="009520A9" w:rsidRDefault="00770482">
            <w:pPr>
              <w:jc w:val="right"/>
            </w:pPr>
            <w:r>
              <w:t>37.059.035</w:t>
            </w:r>
          </w:p>
        </w:tc>
        <w:tc>
          <w:tcPr>
            <w:tcW w:w="1632" w:type="dxa"/>
            <w:vAlign w:val="top"/>
          </w:tcPr>
          <w:p w:rsidR="009520A9" w:rsidRDefault="00770482">
            <w:pPr>
              <w:jc w:val="right"/>
            </w:pPr>
            <w:r>
              <w:t>38.310.157</w:t>
            </w:r>
          </w:p>
        </w:tc>
        <w:tc>
          <w:tcPr>
            <w:tcW w:w="1632" w:type="dxa"/>
            <w:vAlign w:val="top"/>
          </w:tcPr>
          <w:p w:rsidR="009520A9" w:rsidRDefault="00770482">
            <w:pPr>
              <w:jc w:val="right"/>
            </w:pPr>
            <w:r>
              <w:t>37.828.549</w:t>
            </w:r>
          </w:p>
        </w:tc>
        <w:tc>
          <w:tcPr>
            <w:tcW w:w="510" w:type="dxa"/>
            <w:vAlign w:val="top"/>
          </w:tcPr>
          <w:p w:rsidR="009520A9" w:rsidRDefault="00770482">
            <w:pPr>
              <w:jc w:val="right"/>
            </w:pPr>
            <w:r>
              <w:t>111,7</w:t>
            </w:r>
          </w:p>
        </w:tc>
      </w:tr>
    </w:tbl>
    <w:p w:rsidR="009520A9" w:rsidRDefault="009520A9">
      <w:pPr>
        <w:jc w:val="left"/>
      </w:pPr>
    </w:p>
    <w:p w:rsidR="009520A9" w:rsidRDefault="00770482">
      <w:r>
        <w:t>Provedba ove aktivnosti započela je 2021. godine i nastavlja se provoditi svake godine do završetka programa Erasmus+ 2021.-2027. u području obrazovanja. EK dostavlja program rada svim državama članicama sa propisanim financijskim iznosima potpore. Program</w:t>
      </w:r>
      <w:r>
        <w:t xml:space="preserve"> rada revidira se tijekom godine i Nacionalna agencija (AMPEU) potpisuje dodatak ugovora s EK u kojem može doći do korekcije inicijalnog iznosa.  </w:t>
      </w:r>
    </w:p>
    <w:p w:rsidR="009520A9" w:rsidRDefault="00770482">
      <w:r>
        <w:t xml:space="preserve">U razdoblju 2024. – 2026. očekuje se ostvarenje sljedećeg: </w:t>
      </w:r>
    </w:p>
    <w:p w:rsidR="009520A9" w:rsidRDefault="00770482">
      <w:r>
        <w:t xml:space="preserve">Erasmus+ 2021.-2027. najveći je program Europske </w:t>
      </w:r>
      <w:r>
        <w:t xml:space="preserve">unije za obrazovanje, osposobljavanje, mlade i sport. Program je posebno usmjeren povezivanju obrazovanja, osposobljavanja i sektora mladih s poslovnim sektorom te je otvoren za njihove zajedničke projekte.  </w:t>
      </w:r>
    </w:p>
    <w:p w:rsidR="009520A9" w:rsidRDefault="00770482">
      <w:r>
        <w:t>Aktivnosti programa Erasmus+ u području obrazov</w:t>
      </w:r>
      <w:r>
        <w:t>anja nude mogućnosti međunarodne mobilnosti za pojedince, među ostalim provođenje razdoblja studija u inozemstvu, obavljanje stručne prakse, stručna usavršavanja i osposobljavanja, rada na zajedničkim projektima u području visokog, strukovnog obrazovanja i</w:t>
      </w:r>
      <w:r>
        <w:t xml:space="preserve"> osposobljavanja, odgoja i općeg obrazovanja i obrazovanja odraslih.  </w:t>
      </w:r>
    </w:p>
    <w:p w:rsidR="009520A9" w:rsidRDefault="00770482">
      <w:r>
        <w:t xml:space="preserve">Ova aktivnost sastoji se od sljedećih elemenata: </w:t>
      </w:r>
    </w:p>
    <w:p w:rsidR="009520A9" w:rsidRDefault="00770482">
      <w:r>
        <w:t>1.</w:t>
      </w:r>
      <w:r>
        <w:tab/>
        <w:t xml:space="preserve">Isplate predujma, privremene isplate i završne isplate korisnicima temeljem ugovora o bespovratnoj dodjeli sredstava </w:t>
      </w:r>
    </w:p>
    <w:p w:rsidR="009520A9" w:rsidRDefault="00770482">
      <w:r>
        <w:t>2.</w:t>
      </w:r>
      <w:r>
        <w:tab/>
        <w:t>Materijalni</w:t>
      </w:r>
      <w:r>
        <w:t xml:space="preserve"> rashodi provedbe programa Erasmus+ (te Aktivnosti osposobljavanja i suradnje u okviru programa Erasmus+ (TCA)) </w:t>
      </w:r>
    </w:p>
    <w:p w:rsidR="009520A9" w:rsidRDefault="00770482">
      <w:r>
        <w:t xml:space="preserve">Izračun financijskog plana: </w:t>
      </w:r>
    </w:p>
    <w:p w:rsidR="009520A9" w:rsidRDefault="00770482">
      <w:r>
        <w:t xml:space="preserve">Prijedlog proračuna za 2024. godinu kao i projekcije za 2025. i 2026. godinu u skladu su s predviđenom alokacijom </w:t>
      </w:r>
      <w:r>
        <w:t>sredstava za Republiku Hrvatsku te Višegodišnjim financijskim okvirom Europske unije. U 2024. godini očekuju se isplate završnih isplata projekata iz natječajne godine 2021., 2022. i 2023. te predujmova za novougovorene projekte iz natječajne godine 2024.,</w:t>
      </w:r>
      <w:r>
        <w:t xml:space="preserve"> kao i predujmovi za projekte s drugog roka natječajne godine 2023. Tijekom godine planira se i provedba Aktivnosti osposobljavanja i suradnje u okviru programa Erasmus+ (TCA) iz natječajnih godina 2023. i 2024. za što je planirano 220.000 EUR. Polazna vri</w:t>
      </w:r>
      <w:r>
        <w:t>jednost i ciljane vrijednosti revidirane su sukladno postignutim rezultatima u 2023. godini te projekcijama proračuna za projekte za razdoblje 2024.-2026. koje je dostavila Europska komisija.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w:t>
            </w:r>
            <w:r>
              <w:rPr>
                <w:rFonts w:cs="Times New Roman"/>
              </w:rPr>
              <w:t>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ugovorenih KA1 projekata za područje obrazovanja i osposobljavanja</w:t>
            </w:r>
          </w:p>
        </w:tc>
        <w:tc>
          <w:tcPr>
            <w:tcW w:w="2245" w:type="dxa"/>
            <w:vAlign w:val="top"/>
          </w:tcPr>
          <w:p w:rsidR="009520A9" w:rsidRDefault="00770482">
            <w:pPr>
              <w:pStyle w:val="CellColumn"/>
              <w:jc w:val="left"/>
            </w:pPr>
            <w:r>
              <w:rPr>
                <w:rFonts w:cs="Times New Roman"/>
              </w:rPr>
              <w:t>Broj KA1 projekata u području obrazovanja i osposobljavanja koji su ugovoreni u okviru dotičnoga Poziva</w:t>
            </w:r>
          </w:p>
        </w:tc>
        <w:tc>
          <w:tcPr>
            <w:tcW w:w="918" w:type="dxa"/>
          </w:tcPr>
          <w:p w:rsidR="009520A9" w:rsidRDefault="00770482">
            <w:pPr>
              <w:jc w:val="center"/>
            </w:pPr>
            <w:r>
              <w:t>Broj</w:t>
            </w:r>
          </w:p>
        </w:tc>
        <w:tc>
          <w:tcPr>
            <w:tcW w:w="918" w:type="dxa"/>
          </w:tcPr>
          <w:p w:rsidR="009520A9" w:rsidRDefault="00770482">
            <w:pPr>
              <w:jc w:val="center"/>
            </w:pPr>
            <w:r>
              <w:t>300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400</w:t>
            </w:r>
          </w:p>
        </w:tc>
        <w:tc>
          <w:tcPr>
            <w:tcW w:w="918" w:type="dxa"/>
          </w:tcPr>
          <w:p w:rsidR="009520A9" w:rsidRDefault="00770482">
            <w:pPr>
              <w:jc w:val="center"/>
            </w:pPr>
            <w:r>
              <w:t>430</w:t>
            </w:r>
          </w:p>
        </w:tc>
        <w:tc>
          <w:tcPr>
            <w:tcW w:w="918" w:type="dxa"/>
          </w:tcPr>
          <w:p w:rsidR="009520A9" w:rsidRDefault="00770482">
            <w:pPr>
              <w:jc w:val="center"/>
            </w:pPr>
            <w:r>
              <w:t>460</w:t>
            </w:r>
          </w:p>
        </w:tc>
      </w:tr>
      <w:tr w:rsidR="009520A9">
        <w:trPr>
          <w:jc w:val="center"/>
        </w:trPr>
        <w:tc>
          <w:tcPr>
            <w:tcW w:w="2245" w:type="dxa"/>
            <w:vAlign w:val="top"/>
          </w:tcPr>
          <w:p w:rsidR="009520A9" w:rsidRDefault="00770482">
            <w:pPr>
              <w:pStyle w:val="CellColumn"/>
              <w:jc w:val="left"/>
            </w:pPr>
            <w:r>
              <w:rPr>
                <w:rFonts w:cs="Times New Roman"/>
              </w:rPr>
              <w:t>Broj sudionika u ugovorenim KA1 projektima za područje odgoja i općeg obrazovanja</w:t>
            </w:r>
          </w:p>
        </w:tc>
        <w:tc>
          <w:tcPr>
            <w:tcW w:w="2245" w:type="dxa"/>
            <w:vAlign w:val="top"/>
          </w:tcPr>
          <w:p w:rsidR="009520A9" w:rsidRDefault="00770482">
            <w:pPr>
              <w:pStyle w:val="CellColumn"/>
              <w:jc w:val="left"/>
            </w:pPr>
            <w:r>
              <w:rPr>
                <w:rFonts w:cs="Times New Roman"/>
              </w:rPr>
              <w:t>Broj nastavnog/nenastavnog osoblja te učenika u KA121/122-SCH projektima koji su ugovoreni u okviru dotičnoga Poziva</w:t>
            </w:r>
          </w:p>
        </w:tc>
        <w:tc>
          <w:tcPr>
            <w:tcW w:w="918" w:type="dxa"/>
          </w:tcPr>
          <w:p w:rsidR="009520A9" w:rsidRDefault="00770482">
            <w:pPr>
              <w:jc w:val="center"/>
            </w:pPr>
            <w:r>
              <w:t>Broj</w:t>
            </w:r>
          </w:p>
        </w:tc>
        <w:tc>
          <w:tcPr>
            <w:tcW w:w="918" w:type="dxa"/>
          </w:tcPr>
          <w:p w:rsidR="009520A9" w:rsidRDefault="00770482">
            <w:pPr>
              <w:jc w:val="center"/>
            </w:pPr>
            <w:r>
              <w:t>2500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2600</w:t>
            </w:r>
          </w:p>
        </w:tc>
        <w:tc>
          <w:tcPr>
            <w:tcW w:w="918" w:type="dxa"/>
          </w:tcPr>
          <w:p w:rsidR="009520A9" w:rsidRDefault="00770482">
            <w:pPr>
              <w:jc w:val="center"/>
            </w:pPr>
            <w:r>
              <w:t>2750</w:t>
            </w:r>
          </w:p>
        </w:tc>
        <w:tc>
          <w:tcPr>
            <w:tcW w:w="918" w:type="dxa"/>
          </w:tcPr>
          <w:p w:rsidR="009520A9" w:rsidRDefault="00770482">
            <w:pPr>
              <w:jc w:val="center"/>
            </w:pPr>
            <w:r>
              <w:t>2900</w:t>
            </w:r>
          </w:p>
        </w:tc>
      </w:tr>
      <w:tr w:rsidR="009520A9">
        <w:trPr>
          <w:jc w:val="center"/>
        </w:trPr>
        <w:tc>
          <w:tcPr>
            <w:tcW w:w="2245" w:type="dxa"/>
            <w:vAlign w:val="top"/>
          </w:tcPr>
          <w:p w:rsidR="009520A9" w:rsidRDefault="00770482">
            <w:pPr>
              <w:pStyle w:val="CellColumn"/>
              <w:jc w:val="left"/>
            </w:pPr>
            <w:r>
              <w:rPr>
                <w:rFonts w:cs="Times New Roman"/>
              </w:rPr>
              <w:t>Broj sudionika u ugovorenim KA1 projektima za područje strukovnog obrazovanja i osposobljavanja</w:t>
            </w:r>
          </w:p>
        </w:tc>
        <w:tc>
          <w:tcPr>
            <w:tcW w:w="2245" w:type="dxa"/>
            <w:vAlign w:val="top"/>
          </w:tcPr>
          <w:p w:rsidR="009520A9" w:rsidRDefault="00770482">
            <w:pPr>
              <w:pStyle w:val="CellColumn"/>
              <w:jc w:val="left"/>
            </w:pPr>
            <w:r>
              <w:rPr>
                <w:rFonts w:cs="Times New Roman"/>
              </w:rPr>
              <w:t>Broj učenik</w:t>
            </w:r>
            <w:r>
              <w:rPr>
                <w:rFonts w:cs="Times New Roman"/>
              </w:rPr>
              <w:t>a te nastavnog/nenastavnog osoblja u KA121/122-VET  projektima koji su ugovoreni u okviru dotičnoga Poziva</w:t>
            </w:r>
          </w:p>
        </w:tc>
        <w:tc>
          <w:tcPr>
            <w:tcW w:w="918" w:type="dxa"/>
          </w:tcPr>
          <w:p w:rsidR="009520A9" w:rsidRDefault="00770482">
            <w:pPr>
              <w:jc w:val="center"/>
            </w:pPr>
            <w:r>
              <w:t>Broj</w:t>
            </w:r>
          </w:p>
        </w:tc>
        <w:tc>
          <w:tcPr>
            <w:tcW w:w="918" w:type="dxa"/>
          </w:tcPr>
          <w:p w:rsidR="009520A9" w:rsidRDefault="00770482">
            <w:pPr>
              <w:jc w:val="center"/>
            </w:pPr>
            <w:r>
              <w:t>2300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2400</w:t>
            </w:r>
          </w:p>
        </w:tc>
        <w:tc>
          <w:tcPr>
            <w:tcW w:w="918" w:type="dxa"/>
          </w:tcPr>
          <w:p w:rsidR="009520A9" w:rsidRDefault="00770482">
            <w:pPr>
              <w:jc w:val="center"/>
            </w:pPr>
            <w:r>
              <w:t>2600</w:t>
            </w:r>
          </w:p>
        </w:tc>
        <w:tc>
          <w:tcPr>
            <w:tcW w:w="918" w:type="dxa"/>
          </w:tcPr>
          <w:p w:rsidR="009520A9" w:rsidRDefault="00770482">
            <w:pPr>
              <w:jc w:val="center"/>
            </w:pPr>
            <w:r>
              <w:t>2800</w:t>
            </w:r>
          </w:p>
        </w:tc>
      </w:tr>
      <w:tr w:rsidR="009520A9">
        <w:trPr>
          <w:jc w:val="center"/>
        </w:trPr>
        <w:tc>
          <w:tcPr>
            <w:tcW w:w="2245" w:type="dxa"/>
            <w:vAlign w:val="top"/>
          </w:tcPr>
          <w:p w:rsidR="009520A9" w:rsidRDefault="00770482">
            <w:pPr>
              <w:pStyle w:val="CellColumn"/>
              <w:jc w:val="left"/>
            </w:pPr>
            <w:r>
              <w:rPr>
                <w:rFonts w:cs="Times New Roman"/>
              </w:rPr>
              <w:t>Broj sudionika u ugovorenim KA1 projektima za područje visokog obrazovanja</w:t>
            </w:r>
          </w:p>
        </w:tc>
        <w:tc>
          <w:tcPr>
            <w:tcW w:w="2245" w:type="dxa"/>
            <w:vAlign w:val="top"/>
          </w:tcPr>
          <w:p w:rsidR="009520A9" w:rsidRDefault="00770482">
            <w:pPr>
              <w:pStyle w:val="CellColumn"/>
              <w:jc w:val="left"/>
            </w:pPr>
            <w:r>
              <w:rPr>
                <w:rFonts w:cs="Times New Roman"/>
              </w:rPr>
              <w:t>Broj studenata te nastavnog/nenastavnog osoblja u KA131/ KA171 projektima koji su ugovoreni u okviru dotičnoga Poziva</w:t>
            </w:r>
          </w:p>
        </w:tc>
        <w:tc>
          <w:tcPr>
            <w:tcW w:w="918" w:type="dxa"/>
          </w:tcPr>
          <w:p w:rsidR="009520A9" w:rsidRDefault="00770482">
            <w:pPr>
              <w:jc w:val="center"/>
            </w:pPr>
            <w:r>
              <w:t>Broj</w:t>
            </w:r>
          </w:p>
        </w:tc>
        <w:tc>
          <w:tcPr>
            <w:tcW w:w="918" w:type="dxa"/>
          </w:tcPr>
          <w:p w:rsidR="009520A9" w:rsidRDefault="00770482">
            <w:pPr>
              <w:jc w:val="center"/>
            </w:pPr>
            <w:r>
              <w:t>5400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5600</w:t>
            </w:r>
          </w:p>
        </w:tc>
        <w:tc>
          <w:tcPr>
            <w:tcW w:w="918" w:type="dxa"/>
          </w:tcPr>
          <w:p w:rsidR="009520A9" w:rsidRDefault="00770482">
            <w:pPr>
              <w:jc w:val="center"/>
            </w:pPr>
            <w:r>
              <w:t>5800</w:t>
            </w:r>
          </w:p>
        </w:tc>
        <w:tc>
          <w:tcPr>
            <w:tcW w:w="918" w:type="dxa"/>
          </w:tcPr>
          <w:p w:rsidR="009520A9" w:rsidRDefault="00770482">
            <w:pPr>
              <w:jc w:val="center"/>
            </w:pPr>
            <w:r>
              <w:t>6000</w:t>
            </w:r>
          </w:p>
        </w:tc>
      </w:tr>
      <w:tr w:rsidR="009520A9">
        <w:trPr>
          <w:jc w:val="center"/>
        </w:trPr>
        <w:tc>
          <w:tcPr>
            <w:tcW w:w="2245" w:type="dxa"/>
            <w:vAlign w:val="top"/>
          </w:tcPr>
          <w:p w:rsidR="009520A9" w:rsidRDefault="00770482">
            <w:pPr>
              <w:pStyle w:val="CellColumn"/>
              <w:jc w:val="left"/>
            </w:pPr>
            <w:r>
              <w:rPr>
                <w:rFonts w:cs="Times New Roman"/>
              </w:rPr>
              <w:t>Broj sudionika u ugovorenim KA1 projektima za područje obrazovanja odraslih</w:t>
            </w:r>
          </w:p>
        </w:tc>
        <w:tc>
          <w:tcPr>
            <w:tcW w:w="2245" w:type="dxa"/>
            <w:vAlign w:val="top"/>
          </w:tcPr>
          <w:p w:rsidR="009520A9" w:rsidRDefault="00770482">
            <w:pPr>
              <w:pStyle w:val="CellColumn"/>
              <w:jc w:val="left"/>
            </w:pPr>
            <w:r>
              <w:rPr>
                <w:rFonts w:cs="Times New Roman"/>
              </w:rPr>
              <w:t>Broj nastavnog/nenastavnog oso</w:t>
            </w:r>
            <w:r>
              <w:rPr>
                <w:rFonts w:cs="Times New Roman"/>
              </w:rPr>
              <w:t>blja te polaznika u KA121/122 - AE projektima koji su ugovoreni u okviru dotičnoga Poziva</w:t>
            </w:r>
          </w:p>
        </w:tc>
        <w:tc>
          <w:tcPr>
            <w:tcW w:w="918" w:type="dxa"/>
          </w:tcPr>
          <w:p w:rsidR="009520A9" w:rsidRDefault="00770482">
            <w:pPr>
              <w:jc w:val="center"/>
            </w:pPr>
            <w:r>
              <w:t>Broj</w:t>
            </w:r>
          </w:p>
        </w:tc>
        <w:tc>
          <w:tcPr>
            <w:tcW w:w="918" w:type="dxa"/>
          </w:tcPr>
          <w:p w:rsidR="009520A9" w:rsidRDefault="00770482">
            <w:pPr>
              <w:jc w:val="center"/>
            </w:pPr>
            <w:r>
              <w:t>320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370</w:t>
            </w:r>
          </w:p>
        </w:tc>
        <w:tc>
          <w:tcPr>
            <w:tcW w:w="918" w:type="dxa"/>
          </w:tcPr>
          <w:p w:rsidR="009520A9" w:rsidRDefault="00770482">
            <w:pPr>
              <w:jc w:val="center"/>
            </w:pPr>
            <w:r>
              <w:t>420</w:t>
            </w:r>
          </w:p>
        </w:tc>
        <w:tc>
          <w:tcPr>
            <w:tcW w:w="918" w:type="dxa"/>
          </w:tcPr>
          <w:p w:rsidR="009520A9" w:rsidRDefault="00770482">
            <w:pPr>
              <w:jc w:val="center"/>
            </w:pPr>
            <w:r>
              <w:t>500</w:t>
            </w:r>
          </w:p>
        </w:tc>
      </w:tr>
      <w:tr w:rsidR="009520A9">
        <w:trPr>
          <w:jc w:val="center"/>
        </w:trPr>
        <w:tc>
          <w:tcPr>
            <w:tcW w:w="2245" w:type="dxa"/>
            <w:vAlign w:val="top"/>
          </w:tcPr>
          <w:p w:rsidR="009520A9" w:rsidRDefault="00770482">
            <w:pPr>
              <w:pStyle w:val="CellColumn"/>
              <w:jc w:val="left"/>
            </w:pPr>
            <w:r>
              <w:rPr>
                <w:rFonts w:cs="Times New Roman"/>
              </w:rPr>
              <w:t>Broj ugovorenih KA2 projekata za područje obrazovanja i osposobljavanja</w:t>
            </w:r>
          </w:p>
        </w:tc>
        <w:tc>
          <w:tcPr>
            <w:tcW w:w="2245" w:type="dxa"/>
            <w:vAlign w:val="top"/>
          </w:tcPr>
          <w:p w:rsidR="009520A9" w:rsidRDefault="00770482">
            <w:pPr>
              <w:pStyle w:val="CellColumn"/>
              <w:jc w:val="left"/>
            </w:pPr>
            <w:r>
              <w:rPr>
                <w:rFonts w:cs="Times New Roman"/>
              </w:rPr>
              <w:t>Broj KA2 projekata u području obrazovanja i osposobljavanja koji s</w:t>
            </w:r>
            <w:r>
              <w:rPr>
                <w:rFonts w:cs="Times New Roman"/>
              </w:rPr>
              <w:t>u ugovoreni u okviru dotičnoga Poziva</w:t>
            </w:r>
          </w:p>
        </w:tc>
        <w:tc>
          <w:tcPr>
            <w:tcW w:w="918" w:type="dxa"/>
          </w:tcPr>
          <w:p w:rsidR="009520A9" w:rsidRDefault="00770482">
            <w:pPr>
              <w:jc w:val="center"/>
            </w:pPr>
            <w:r>
              <w:t>Broj</w:t>
            </w:r>
          </w:p>
        </w:tc>
        <w:tc>
          <w:tcPr>
            <w:tcW w:w="918" w:type="dxa"/>
          </w:tcPr>
          <w:p w:rsidR="009520A9" w:rsidRDefault="00770482">
            <w:pPr>
              <w:jc w:val="center"/>
            </w:pPr>
            <w:r>
              <w:t>35</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42</w:t>
            </w:r>
          </w:p>
        </w:tc>
        <w:tc>
          <w:tcPr>
            <w:tcW w:w="918" w:type="dxa"/>
          </w:tcPr>
          <w:p w:rsidR="009520A9" w:rsidRDefault="00770482">
            <w:pPr>
              <w:jc w:val="center"/>
            </w:pPr>
            <w:r>
              <w:t>49</w:t>
            </w:r>
          </w:p>
        </w:tc>
        <w:tc>
          <w:tcPr>
            <w:tcW w:w="918" w:type="dxa"/>
          </w:tcPr>
          <w:p w:rsidR="009520A9" w:rsidRDefault="00770482">
            <w:pPr>
              <w:jc w:val="center"/>
            </w:pPr>
            <w:r>
              <w:t>56</w:t>
            </w:r>
          </w:p>
        </w:tc>
      </w:tr>
    </w:tbl>
    <w:p w:rsidR="009520A9" w:rsidRDefault="009520A9">
      <w:pPr>
        <w:jc w:val="left"/>
      </w:pPr>
    </w:p>
    <w:p w:rsidR="009520A9" w:rsidRDefault="00770482">
      <w:pPr>
        <w:pStyle w:val="Heading4"/>
      </w:pPr>
      <w:r>
        <w:t>A818065 ERASMUS - PROJEKTI ZA KORISNIKE MLADI OD 2021. DO 2027.</w:t>
      </w:r>
    </w:p>
    <w:p w:rsidR="009520A9" w:rsidRDefault="00770482">
      <w:pPr>
        <w:pStyle w:val="Heading8"/>
        <w:jc w:val="left"/>
      </w:pPr>
      <w:r>
        <w:t>Zakonske i druge pravne osnove</w:t>
      </w:r>
    </w:p>
    <w:p w:rsidR="009520A9" w:rsidRDefault="00770482">
      <w:r>
        <w:t>Zakon o Agenciji za mobilnost i programe EU, Uredba (EU) 2021/817 Europskog parlamenta i Vijeća od 20. svibnja 2021. o uspostavi programa Unije za obrazovanje i osposobljavanje, mlade i sport Erasmus+ te o stavljanju izvan snage Uredbe (EU) br. 1288/2013.,</w:t>
      </w:r>
      <w:r>
        <w:t xml:space="preserve"> Ugovori s Europskom komisijom o provedbi programa i projekata.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A818065</w:t>
            </w:r>
          </w:p>
        </w:tc>
        <w:tc>
          <w:tcPr>
            <w:tcW w:w="1632" w:type="dxa"/>
            <w:vAlign w:val="top"/>
          </w:tcPr>
          <w:p w:rsidR="009520A9" w:rsidRDefault="00770482">
            <w:pPr>
              <w:jc w:val="right"/>
            </w:pPr>
            <w:r>
              <w:t>3.366.210</w:t>
            </w:r>
          </w:p>
        </w:tc>
        <w:tc>
          <w:tcPr>
            <w:tcW w:w="1632" w:type="dxa"/>
            <w:vAlign w:val="top"/>
          </w:tcPr>
          <w:p w:rsidR="009520A9" w:rsidRDefault="00770482">
            <w:pPr>
              <w:jc w:val="right"/>
            </w:pPr>
            <w:r>
              <w:t>5.999.329</w:t>
            </w:r>
          </w:p>
        </w:tc>
        <w:tc>
          <w:tcPr>
            <w:tcW w:w="1632" w:type="dxa"/>
            <w:vAlign w:val="top"/>
          </w:tcPr>
          <w:p w:rsidR="009520A9" w:rsidRDefault="00770482">
            <w:pPr>
              <w:jc w:val="right"/>
            </w:pPr>
            <w:r>
              <w:t>6.177.700</w:t>
            </w:r>
          </w:p>
        </w:tc>
        <w:tc>
          <w:tcPr>
            <w:tcW w:w="1632" w:type="dxa"/>
            <w:vAlign w:val="top"/>
          </w:tcPr>
          <w:p w:rsidR="009520A9" w:rsidRDefault="00770482">
            <w:pPr>
              <w:jc w:val="right"/>
            </w:pPr>
            <w:r>
              <w:t>6.424.808</w:t>
            </w:r>
          </w:p>
        </w:tc>
        <w:tc>
          <w:tcPr>
            <w:tcW w:w="1632" w:type="dxa"/>
            <w:vAlign w:val="top"/>
          </w:tcPr>
          <w:p w:rsidR="009520A9" w:rsidRDefault="00770482">
            <w:pPr>
              <w:jc w:val="right"/>
            </w:pPr>
            <w:r>
              <w:t>6.681.800</w:t>
            </w:r>
          </w:p>
        </w:tc>
        <w:tc>
          <w:tcPr>
            <w:tcW w:w="510" w:type="dxa"/>
            <w:vAlign w:val="top"/>
          </w:tcPr>
          <w:p w:rsidR="009520A9" w:rsidRDefault="00770482">
            <w:pPr>
              <w:jc w:val="right"/>
            </w:pPr>
            <w:r>
              <w:t>103,0</w:t>
            </w:r>
          </w:p>
        </w:tc>
      </w:tr>
    </w:tbl>
    <w:p w:rsidR="009520A9" w:rsidRDefault="009520A9">
      <w:pPr>
        <w:jc w:val="left"/>
      </w:pPr>
    </w:p>
    <w:p w:rsidR="009520A9" w:rsidRDefault="00770482">
      <w:r>
        <w:t>Provedba ove aktivnosti započela je 2021. godine i nastavlja se provoditi svake godine do završetka programa Erasmus+ 2021.-2027. u području mladih. EK dostavlja program rada svim državama članicama sa propisanim financijskim iznosima potpore. Program rada</w:t>
      </w:r>
      <w:r>
        <w:t xml:space="preserve"> revidira se tijekom godine i Nacionalna agencija (AMPEU) potpisuje dodatak ugovora s EK u kojem može doći do korekcije inicijalnog iznosa.  </w:t>
      </w:r>
    </w:p>
    <w:p w:rsidR="009520A9" w:rsidRDefault="00770482">
      <w:r>
        <w:t xml:space="preserve">U razdoblju 2024. – 2026. očekuje se ostvarenje sljedećeg: </w:t>
      </w:r>
    </w:p>
    <w:p w:rsidR="009520A9" w:rsidRDefault="00770482">
      <w:r>
        <w:t xml:space="preserve">Erasmus+ 2021.-2027. najveći je program Europske unije za obrazovanje, osposobljavanje, mlade i sport. Program je posebno usmjeren povezivanju obrazovanja, osposobljavanja i sektora mladih s poslovnim sektorom te je otvoren za njihove zajedničke projekte. </w:t>
      </w:r>
      <w:r>
        <w:t xml:space="preserve"> </w:t>
      </w:r>
    </w:p>
    <w:p w:rsidR="009520A9" w:rsidRDefault="00770482">
      <w:r>
        <w:t xml:space="preserve">Aktivnosti programa Erasmus+ u području mladih nude mogućnosti neformalnog i informalnog obrazovanja kroz ključnu aktivnost 1 - projekata mobilnosti za mlade (razmjene mladih) i osoba koje rade s mladima (mobilnost osoba koje rade s mladima), aktivnosti </w:t>
      </w:r>
      <w:r>
        <w:t xml:space="preserve">sudjelovanja mladih,  ključnu aktivnost 2-projekata malih i suradničkih partnerstava te inicijativu DiscoverEU.  </w:t>
      </w:r>
    </w:p>
    <w:p w:rsidR="009520A9" w:rsidRDefault="00770482">
      <w:r>
        <w:t xml:space="preserve">Ova aktivnost sastoji se od sljedećih elemenata: </w:t>
      </w:r>
    </w:p>
    <w:p w:rsidR="009520A9" w:rsidRDefault="00770482">
      <w:r>
        <w:t>1.</w:t>
      </w:r>
      <w:r>
        <w:tab/>
        <w:t>Isplate predujma, privremene isplate i završne isplate korisnicima temeljem ugovora o bes</w:t>
      </w:r>
      <w:r>
        <w:t xml:space="preserve">povratnoj dodjeli sredstava </w:t>
      </w:r>
    </w:p>
    <w:p w:rsidR="009520A9" w:rsidRDefault="00770482">
      <w:r>
        <w:t>2.</w:t>
      </w:r>
      <w:r>
        <w:tab/>
        <w:t xml:space="preserve">Materijalni rashodi provedbe programa Erasmus+ (te Aktivnosti osposobljavanja i suradnje u okviru programa Erasmus+ (TCA) i Discover EU projekti inkluzije) </w:t>
      </w:r>
    </w:p>
    <w:p w:rsidR="009520A9" w:rsidRDefault="00770482">
      <w:r>
        <w:t xml:space="preserve"> </w:t>
      </w:r>
    </w:p>
    <w:p w:rsidR="009520A9" w:rsidRDefault="00770482">
      <w:r>
        <w:t xml:space="preserve">Izračun financijskog plana: </w:t>
      </w:r>
    </w:p>
    <w:p w:rsidR="009520A9" w:rsidRDefault="00770482">
      <w:r>
        <w:t xml:space="preserve">Prijedlog proračuna za 2024. godinu </w:t>
      </w:r>
      <w:r>
        <w:t>kao i projekcije za 2025. i 2026. godinu u skladu su s predviđenom alokacijom sredstava za Republiku Hrvatsku te Višegodišnjim financijskim okvirom Europske unije. U 2024. godini očekuju se isplate završnih isplata projekata iz natječajnih godina 2021., 20</w:t>
      </w:r>
      <w:r>
        <w:t>22. i 2023., isplata po privremenim izvješćima te predujmova za novougovorene projekte iz natječajne godine 2024., kao i predujmovi za projekte s drugog roka natječajne godine 2023. Tijekom godine planira se i provedba Aktivnosti osposobljavanja i suradnje</w:t>
      </w:r>
      <w:r>
        <w:t xml:space="preserve"> u okviru programa Erasmus+ (TCA) i Discover EU projekti inkluzije iz natječajnih godina 2023. i 2024. za što je planirano 397.700 EUR. Polazna vrijednost i ciljane vrijednosti revidirane su sukladno postignutim rezultatima u 2023. godini te projekcijama p</w:t>
      </w:r>
      <w:r>
        <w:t>roračuna za projekte za razdoblje 2024.-2026. koje je dostavila Europska komisija.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w:t>
            </w:r>
            <w:r>
              <w:rPr>
                <w:rFonts w:cs="Times New Roman"/>
              </w:rPr>
              <w:t>26.)</w:t>
            </w:r>
          </w:p>
        </w:tc>
      </w:tr>
      <w:tr w:rsidR="009520A9">
        <w:trPr>
          <w:jc w:val="center"/>
        </w:trPr>
        <w:tc>
          <w:tcPr>
            <w:tcW w:w="2245" w:type="dxa"/>
            <w:vAlign w:val="top"/>
          </w:tcPr>
          <w:p w:rsidR="009520A9" w:rsidRDefault="00770482">
            <w:pPr>
              <w:pStyle w:val="CellColumn"/>
              <w:jc w:val="left"/>
            </w:pPr>
            <w:r>
              <w:rPr>
                <w:rFonts w:cs="Times New Roman"/>
              </w:rPr>
              <w:t>Broj ugovorenih KA1 projekata za  područje mladih</w:t>
            </w:r>
          </w:p>
        </w:tc>
        <w:tc>
          <w:tcPr>
            <w:tcW w:w="2245" w:type="dxa"/>
            <w:vAlign w:val="top"/>
          </w:tcPr>
          <w:p w:rsidR="009520A9" w:rsidRDefault="00770482">
            <w:pPr>
              <w:pStyle w:val="CellColumn"/>
              <w:jc w:val="left"/>
            </w:pPr>
            <w:r>
              <w:rPr>
                <w:rFonts w:cs="Times New Roman"/>
              </w:rPr>
              <w:t>Broj KA151, KA152, KA153, KA154 te KA155  projekata koji su ugovoreni u okviru dotičnoga Poziva</w:t>
            </w:r>
          </w:p>
        </w:tc>
        <w:tc>
          <w:tcPr>
            <w:tcW w:w="918" w:type="dxa"/>
          </w:tcPr>
          <w:p w:rsidR="009520A9" w:rsidRDefault="00770482">
            <w:pPr>
              <w:jc w:val="center"/>
            </w:pPr>
            <w:r>
              <w:t>broj</w:t>
            </w:r>
          </w:p>
        </w:tc>
        <w:tc>
          <w:tcPr>
            <w:tcW w:w="918" w:type="dxa"/>
          </w:tcPr>
          <w:p w:rsidR="009520A9" w:rsidRDefault="00770482">
            <w:pPr>
              <w:jc w:val="center"/>
            </w:pPr>
            <w:r>
              <w:t>65</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72</w:t>
            </w:r>
          </w:p>
        </w:tc>
        <w:tc>
          <w:tcPr>
            <w:tcW w:w="918" w:type="dxa"/>
          </w:tcPr>
          <w:p w:rsidR="009520A9" w:rsidRDefault="00770482">
            <w:pPr>
              <w:jc w:val="center"/>
            </w:pPr>
            <w:r>
              <w:t>80</w:t>
            </w:r>
          </w:p>
        </w:tc>
        <w:tc>
          <w:tcPr>
            <w:tcW w:w="918" w:type="dxa"/>
          </w:tcPr>
          <w:p w:rsidR="009520A9" w:rsidRDefault="00770482">
            <w:pPr>
              <w:jc w:val="center"/>
            </w:pPr>
            <w:r>
              <w:t>85</w:t>
            </w:r>
          </w:p>
        </w:tc>
      </w:tr>
      <w:tr w:rsidR="009520A9">
        <w:trPr>
          <w:jc w:val="center"/>
        </w:trPr>
        <w:tc>
          <w:tcPr>
            <w:tcW w:w="2245" w:type="dxa"/>
            <w:vAlign w:val="top"/>
          </w:tcPr>
          <w:p w:rsidR="009520A9" w:rsidRDefault="00770482">
            <w:pPr>
              <w:pStyle w:val="CellColumn"/>
              <w:jc w:val="left"/>
            </w:pPr>
            <w:r>
              <w:rPr>
                <w:rFonts w:cs="Times New Roman"/>
              </w:rPr>
              <w:t>Broj sudionika u ugovorenim KA1 projektima za područje mladih</w:t>
            </w:r>
          </w:p>
        </w:tc>
        <w:tc>
          <w:tcPr>
            <w:tcW w:w="2245" w:type="dxa"/>
            <w:vAlign w:val="top"/>
          </w:tcPr>
          <w:p w:rsidR="009520A9" w:rsidRDefault="00770482">
            <w:pPr>
              <w:pStyle w:val="CellColumn"/>
              <w:jc w:val="left"/>
            </w:pPr>
            <w:r>
              <w:rPr>
                <w:rFonts w:cs="Times New Roman"/>
              </w:rPr>
              <w:t>Broj mladih/osoba koje rade s mladima u KA151, KA152, KA153, KA154 te KA155 projektima koji su ugovoreni u okviru dotičnoga Poziva</w:t>
            </w:r>
          </w:p>
        </w:tc>
        <w:tc>
          <w:tcPr>
            <w:tcW w:w="918" w:type="dxa"/>
          </w:tcPr>
          <w:p w:rsidR="009520A9" w:rsidRDefault="00770482">
            <w:pPr>
              <w:jc w:val="center"/>
            </w:pPr>
            <w:r>
              <w:t>broj</w:t>
            </w:r>
          </w:p>
        </w:tc>
        <w:tc>
          <w:tcPr>
            <w:tcW w:w="918" w:type="dxa"/>
          </w:tcPr>
          <w:p w:rsidR="009520A9" w:rsidRDefault="00770482">
            <w:pPr>
              <w:jc w:val="center"/>
            </w:pPr>
            <w:r>
              <w:t>4.300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4.500</w:t>
            </w:r>
          </w:p>
        </w:tc>
        <w:tc>
          <w:tcPr>
            <w:tcW w:w="918" w:type="dxa"/>
          </w:tcPr>
          <w:p w:rsidR="009520A9" w:rsidRDefault="00770482">
            <w:pPr>
              <w:jc w:val="center"/>
            </w:pPr>
            <w:r>
              <w:t>4.700</w:t>
            </w:r>
          </w:p>
        </w:tc>
        <w:tc>
          <w:tcPr>
            <w:tcW w:w="918" w:type="dxa"/>
          </w:tcPr>
          <w:p w:rsidR="009520A9" w:rsidRDefault="00770482">
            <w:pPr>
              <w:jc w:val="center"/>
            </w:pPr>
            <w:r>
              <w:t>4.900</w:t>
            </w:r>
          </w:p>
        </w:tc>
      </w:tr>
      <w:tr w:rsidR="009520A9">
        <w:trPr>
          <w:jc w:val="center"/>
        </w:trPr>
        <w:tc>
          <w:tcPr>
            <w:tcW w:w="2245" w:type="dxa"/>
            <w:vAlign w:val="top"/>
          </w:tcPr>
          <w:p w:rsidR="009520A9" w:rsidRDefault="00770482">
            <w:pPr>
              <w:pStyle w:val="CellColumn"/>
              <w:jc w:val="left"/>
            </w:pPr>
            <w:r>
              <w:rPr>
                <w:rFonts w:cs="Times New Roman"/>
              </w:rPr>
              <w:t>Broj ugovorenih KA2 projekata za područje mladih</w:t>
            </w:r>
          </w:p>
        </w:tc>
        <w:tc>
          <w:tcPr>
            <w:tcW w:w="2245" w:type="dxa"/>
            <w:vAlign w:val="top"/>
          </w:tcPr>
          <w:p w:rsidR="009520A9" w:rsidRDefault="00770482">
            <w:pPr>
              <w:pStyle w:val="CellColumn"/>
              <w:jc w:val="left"/>
            </w:pPr>
            <w:r>
              <w:rPr>
                <w:rFonts w:cs="Times New Roman"/>
              </w:rPr>
              <w:t>Broj KA2 projekata u području mladih koj</w:t>
            </w:r>
            <w:r>
              <w:rPr>
                <w:rFonts w:cs="Times New Roman"/>
              </w:rPr>
              <w:t>i su ugovoreni u okviru dotičnoga Poziva</w:t>
            </w:r>
          </w:p>
        </w:tc>
        <w:tc>
          <w:tcPr>
            <w:tcW w:w="918" w:type="dxa"/>
          </w:tcPr>
          <w:p w:rsidR="009520A9" w:rsidRDefault="00770482">
            <w:pPr>
              <w:jc w:val="center"/>
            </w:pPr>
            <w:r>
              <w:t>broj</w:t>
            </w:r>
          </w:p>
        </w:tc>
        <w:tc>
          <w:tcPr>
            <w:tcW w:w="918" w:type="dxa"/>
          </w:tcPr>
          <w:p w:rsidR="009520A9" w:rsidRDefault="00770482">
            <w:pPr>
              <w:jc w:val="center"/>
            </w:pPr>
            <w:r>
              <w:t>15</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18</w:t>
            </w:r>
          </w:p>
        </w:tc>
        <w:tc>
          <w:tcPr>
            <w:tcW w:w="918" w:type="dxa"/>
          </w:tcPr>
          <w:p w:rsidR="009520A9" w:rsidRDefault="00770482">
            <w:pPr>
              <w:jc w:val="center"/>
            </w:pPr>
            <w:r>
              <w:t>21</w:t>
            </w:r>
          </w:p>
        </w:tc>
        <w:tc>
          <w:tcPr>
            <w:tcW w:w="918" w:type="dxa"/>
          </w:tcPr>
          <w:p w:rsidR="009520A9" w:rsidRDefault="00770482">
            <w:pPr>
              <w:jc w:val="center"/>
            </w:pPr>
            <w:r>
              <w:t>25</w:t>
            </w:r>
          </w:p>
        </w:tc>
      </w:tr>
    </w:tbl>
    <w:p w:rsidR="009520A9" w:rsidRDefault="009520A9">
      <w:pPr>
        <w:jc w:val="left"/>
      </w:pPr>
    </w:p>
    <w:p w:rsidR="009520A9" w:rsidRDefault="00770482">
      <w:pPr>
        <w:pStyle w:val="Heading4"/>
      </w:pPr>
      <w:r>
        <w:t>A818070 PROVEDBA EUROPASS I EUROGUIDANCE</w:t>
      </w:r>
    </w:p>
    <w:p w:rsidR="009520A9" w:rsidRDefault="00770482">
      <w:pPr>
        <w:pStyle w:val="Heading8"/>
        <w:jc w:val="left"/>
      </w:pPr>
      <w:r>
        <w:t>Zakonske i druge pravne osnove</w:t>
      </w:r>
    </w:p>
    <w:p w:rsidR="009520A9" w:rsidRDefault="00770482">
      <w:r>
        <w:t>Zakon o Agenciji za mobilnost i programe EU; Ugovor s Europskom komisijom o provedbi Europass i Euroguidance inicijative; Uredba (EU) 2021/817 Europskog parlamenta i Vijeća od 20. svibnja 2021. o uspostavi programa Unije za obrazovanje i osposobljavanje, m</w:t>
      </w:r>
      <w:r>
        <w:t xml:space="preserve">lade i sport Erasmus+ te o stavljanju izvan snage Uredbe (EU) br. 1288/2013, Odluka (EU) 2018/646 Europskog parlamenta i Vijeća od 18. travnja 2018. o zajedničkom okviru za pružanje boljih usluga za vještine i kvalifikacije (Europass) i o stavljanju izvan </w:t>
      </w:r>
      <w:r>
        <w:t>snage Odluke br. 2241/2004/EC.</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A818070</w:t>
            </w:r>
          </w:p>
        </w:tc>
        <w:tc>
          <w:tcPr>
            <w:tcW w:w="1632" w:type="dxa"/>
            <w:vAlign w:val="top"/>
          </w:tcPr>
          <w:p w:rsidR="009520A9" w:rsidRDefault="00770482">
            <w:pPr>
              <w:jc w:val="right"/>
            </w:pPr>
            <w:r>
              <w:t>62.560</w:t>
            </w:r>
          </w:p>
        </w:tc>
        <w:tc>
          <w:tcPr>
            <w:tcW w:w="1632" w:type="dxa"/>
            <w:vAlign w:val="top"/>
          </w:tcPr>
          <w:p w:rsidR="009520A9" w:rsidRDefault="00770482">
            <w:pPr>
              <w:jc w:val="right"/>
            </w:pPr>
            <w:r>
              <w:t>123.886</w:t>
            </w:r>
          </w:p>
        </w:tc>
        <w:tc>
          <w:tcPr>
            <w:tcW w:w="1632" w:type="dxa"/>
            <w:vAlign w:val="top"/>
          </w:tcPr>
          <w:p w:rsidR="009520A9" w:rsidRDefault="00770482">
            <w:pPr>
              <w:jc w:val="right"/>
            </w:pPr>
            <w:r>
              <w:t>124.643</w:t>
            </w:r>
          </w:p>
        </w:tc>
        <w:tc>
          <w:tcPr>
            <w:tcW w:w="1632" w:type="dxa"/>
            <w:vAlign w:val="top"/>
          </w:tcPr>
          <w:p w:rsidR="009520A9" w:rsidRDefault="00770482">
            <w:pPr>
              <w:jc w:val="right"/>
            </w:pPr>
            <w:r>
              <w:t>130.875</w:t>
            </w:r>
          </w:p>
        </w:tc>
        <w:tc>
          <w:tcPr>
            <w:tcW w:w="1632" w:type="dxa"/>
            <w:vAlign w:val="top"/>
          </w:tcPr>
          <w:p w:rsidR="009520A9" w:rsidRDefault="00770482">
            <w:pPr>
              <w:jc w:val="right"/>
            </w:pPr>
            <w:r>
              <w:t>136.382</w:t>
            </w:r>
          </w:p>
        </w:tc>
        <w:tc>
          <w:tcPr>
            <w:tcW w:w="510" w:type="dxa"/>
            <w:vAlign w:val="top"/>
          </w:tcPr>
          <w:p w:rsidR="009520A9" w:rsidRDefault="00770482">
            <w:pPr>
              <w:jc w:val="right"/>
            </w:pPr>
            <w:r>
              <w:t>100,6</w:t>
            </w:r>
          </w:p>
        </w:tc>
      </w:tr>
    </w:tbl>
    <w:p w:rsidR="009520A9" w:rsidRDefault="009520A9">
      <w:pPr>
        <w:jc w:val="left"/>
      </w:pPr>
    </w:p>
    <w:p w:rsidR="009520A9" w:rsidRDefault="00770482">
      <w:r>
        <w:t xml:space="preserve">Ova aktivnost provodi se svake godine od 2022. godine. </w:t>
      </w:r>
    </w:p>
    <w:p w:rsidR="009520A9" w:rsidRDefault="00770482">
      <w:r>
        <w:t xml:space="preserve">U razdoblju 2024. – 2026. očekuje se ostvarenje sljedećeg: </w:t>
      </w:r>
    </w:p>
    <w:p w:rsidR="009520A9" w:rsidRDefault="00770482">
      <w:r>
        <w:t>Euroguidance je europska mreža nacionalnih centara za podršku profesionalnom usmjeravanju. Glavni ciljevi mreže su: promicanje europske dimenzije u profesionalnom usmjeravanju i pružanje kvalitetn</w:t>
      </w:r>
      <w:r>
        <w:t>ih informacija o cjeloživotnom profesionalnom usmjeravanju i mobilnosti u svrhu učenja. Oba cilja usmjerena su na poticanje međunarodne mobilnosti osoba u obrazovanju i osposobljavanju i skretanje pozornosti na postojanje širokog spektra metodologija i pra</w:t>
      </w:r>
      <w:r>
        <w:t xml:space="preserve">ksi u drugim europskim zemljama.  </w:t>
      </w:r>
    </w:p>
    <w:p w:rsidR="009520A9" w:rsidRDefault="00770482">
      <w:r>
        <w:t xml:space="preserve">Europass je inicijativa Europske unije koja se temelji na portfelju od četiri dokumenta za predstavljanje znanja, vještina i kvalifikacija. Dodatno, u srpnju 2020. Europska komisija pokrenula je i novu Europass platformu </w:t>
      </w:r>
      <w:r>
        <w:t xml:space="preserve">kao besplatni online alat za predstavljanje vještina i planiranje učenja ili karijere u Europi.  </w:t>
      </w:r>
    </w:p>
    <w:p w:rsidR="009520A9" w:rsidRDefault="00770482">
      <w:r>
        <w:t>U pozivu za dostavu projektnih prijedloga za razdoblje 2024. – 2026. Europska komisija i Europska izvršna agencija za obrazovanje i kulturu (EACEA) ponovno su</w:t>
      </w:r>
      <w:r>
        <w:t xml:space="preserve"> ponudile mogućnost da Euroguidance i Europass centri svoje aktivnosti raspišu u okviru jednog zajedničkog projektnog prijedloga, odn. zajedničkog plana rada za Euroguidance i Europass za razdoblje 2024.-2026., čime će ovim mrežama na nacionalnoj razini bi</w:t>
      </w:r>
      <w:r>
        <w:t>ti dodijeljen jedan zajednički proračun iz kojeg će se financirati zajedničke aktivnosti u narednom razdoblju. Uz to, nastavit će se uska suradnja s EQF-om, inicijativom koja, uz Euroguidance i Europass, također doprinosi ciljevima potpore kvaliteti, trans</w:t>
      </w:r>
      <w:r>
        <w:t xml:space="preserve">parentnosti i priznavanju kompetencija na europskoj razini, a u Hrvatskoj djeluje u okviru Ministarstva znanosti i obrazovanja. </w:t>
      </w:r>
    </w:p>
    <w:p w:rsidR="009520A9" w:rsidRDefault="00770482">
      <w:r>
        <w:t xml:space="preserve">Ova aktivnost sastoji se od sljedećih elemenata: </w:t>
      </w:r>
    </w:p>
    <w:p w:rsidR="009520A9" w:rsidRDefault="00770482">
      <w:r>
        <w:t>1.</w:t>
      </w:r>
      <w:r>
        <w:tab/>
        <w:t xml:space="preserve">Rashodi za zaposlene </w:t>
      </w:r>
    </w:p>
    <w:p w:rsidR="009520A9" w:rsidRDefault="00770482">
      <w:r>
        <w:t>2.</w:t>
      </w:r>
      <w:r>
        <w:tab/>
        <w:t>Materijalni rashodi provedbe Europass i Euroguida</w:t>
      </w:r>
      <w:r>
        <w:t xml:space="preserve">nce mreže </w:t>
      </w:r>
    </w:p>
    <w:p w:rsidR="009520A9" w:rsidRDefault="00770482">
      <w:r>
        <w:t xml:space="preserve">Izračun financijskog plana: </w:t>
      </w:r>
    </w:p>
    <w:p w:rsidR="009520A9" w:rsidRDefault="00770482">
      <w:r>
        <w:t>U 2024. godini, a isto tako i u narednim godinama 2025. i 2026., na izvoru 12 planirana su sredstva za redovan rad. U 2024. godini, na izvoru 12, planirana su sredstva za redovan rad tri djelatnika (u različitim post</w:t>
      </w:r>
      <w:r>
        <w:t xml:space="preserve">ocima) u iznosu od 19.698 EUR. Svrha navedenih troškova je osiguravanje redovnog funkcioniranja nacionalnog Euroguidance/ Europass centra. </w:t>
      </w:r>
    </w:p>
    <w:p w:rsidR="009520A9" w:rsidRDefault="00770482">
      <w:r>
        <w:t xml:space="preserve">Sredstva s izvora 51 za 2024. planirana su na istoj razini kao u 2023. godini. Za 2025. i 2026. godinu planirano je </w:t>
      </w:r>
      <w:r>
        <w:t xml:space="preserve">povećanje sredstava od 5% na svim stavkama izvora 51.  </w:t>
      </w:r>
    </w:p>
    <w:p w:rsidR="009520A9" w:rsidRDefault="00770482">
      <w:r>
        <w:t>Za potrebe službenih putovanja i stručnih usavršavanja zaposlenika u 2024. godini planirano je ukupno 22.019 EUR. Svrha navedenih troškova je stručno usavršavanje stručnjaka u profesionalnom usmjerava</w:t>
      </w:r>
      <w:r>
        <w:t>nju kroz međunarodne mobilnosti (studijske posjete, prekogranične seminare, sudjelovanje na međunarodnim konferencijama, sajmovima i sl.), sudjelovanje na godišnjim sastancima Euroguidance i Europass mreže i službeni sastanci u Europskoj komisiji, kao i su</w:t>
      </w:r>
      <w:r>
        <w:t xml:space="preserve">djelovanje na seminarima, sajmovima i konferencijama u Hrvatskoj.  </w:t>
      </w:r>
    </w:p>
    <w:p w:rsidR="009520A9" w:rsidRDefault="00770482">
      <w:r>
        <w:t>Informativne i promotivne aktivnosti planirane su u obliku oglasa, članaka, promotivnih kampanja na društvenim mrežama, izrada brošura, publikacija i promotivnih materijala s pratećim troš</w:t>
      </w:r>
      <w:r>
        <w:t>kovima dizajna, tiska i obrade teksta. Za isto je planirano 13.225 EUR. Troškovi organizacije informativnih i edukativnih aktivnosti (sastanci, seminari, radionice, info dani i webinari) planirani su na stavci zakupnine i najamnine u iznosu od 9.556 EUR, n</w:t>
      </w:r>
      <w:r>
        <w:t>a stavci reprezentacije u iznosu od ukupno 9.556 EUR, na stavci naknade troškova osobama izvan radnog odnosa u iznosu 18.000 EUR te stavci intelektualne i osobne usluge u iznosu od 26.000 EUR. Suradnja s vanjskim stručnjacima predviđena je kod izrade ili a</w:t>
      </w:r>
      <w:r>
        <w:t>žuriranja Europass dokumenata (npr. Europass prilog svjedodžbi), provedbe radionica, prezentiranja i moderiranja u sklopu info dana, seminara, webinara i sl., izrade sadržajnog dijela publikacija, izrade istraživanja, te prijevoda i lekture dokumenata. Svr</w:t>
      </w:r>
      <w:r>
        <w:t xml:space="preserve">ha navedenih troškova je potpora stručnom usavršavanju stručnjaka u profesionalnom usmjeravanju te ostalih dionika u području kvalitete, transparentnosti i priznavanju kompetencija.   </w:t>
      </w:r>
    </w:p>
    <w:p w:rsidR="009520A9" w:rsidRDefault="00770482">
      <w:r>
        <w:t xml:space="preserve">Administrativni i operativni troškovi, koji uključuju bankarske usluge </w:t>
      </w:r>
      <w:r>
        <w:t xml:space="preserve">i usluge platnog prometa,  usluge telefona, pošte i prijevoza iznose ukupno 3.849 EUR. Svrha navedenih troškova je osiguravanje redovnog funkcioniranja nacionalnog Euroguidance/ Europass centra.  </w:t>
      </w:r>
    </w:p>
    <w:p w:rsidR="009520A9" w:rsidRDefault="00770482">
      <w:r>
        <w:t>Za redovno održavanje nacionalne mrežne stranice www.europa</w:t>
      </w:r>
      <w:r>
        <w:t xml:space="preserve">ss.hr, kao i za zajedničke aktivnosti Euroguidance mreže (pretežno na održavanju mrežne stranice www.euroguidance.eu) planirani trošak je 2.740 EUR. </w:t>
      </w:r>
    </w:p>
    <w:p w:rsidR="009520A9" w:rsidRDefault="00770482">
      <w:r>
        <w:t>Pojedine aktivnosti organizirane su od strane Europske komisije koja zadržava pravo promjene događanja.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stručnih suradnika odgojno-obrazovnih ustanova koji su sudjelovali na ak</w:t>
            </w:r>
            <w:r>
              <w:rPr>
                <w:rFonts w:cs="Times New Roman"/>
              </w:rPr>
              <w:t>tivnostima informiranja i stručnog usavršavanja</w:t>
            </w:r>
          </w:p>
        </w:tc>
        <w:tc>
          <w:tcPr>
            <w:tcW w:w="2245" w:type="dxa"/>
            <w:vAlign w:val="top"/>
          </w:tcPr>
          <w:p w:rsidR="009520A9" w:rsidRDefault="00770482">
            <w:pPr>
              <w:pStyle w:val="CellColumn"/>
              <w:jc w:val="left"/>
            </w:pPr>
            <w:r>
              <w:rPr>
                <w:rFonts w:cs="Times New Roman"/>
              </w:rPr>
              <w:t xml:space="preserve">Stručni suradnici psiholozi i pedagozi, stručni suradnici ostalih profila koji u odgojno-obrazovnim ustanovama pružaju usluge profesionalog usmjeravanja posredstvom Euroguidance centra sudjeluju na seminarima, info danima i webinarima u svrhu informiranja </w:t>
            </w:r>
            <w:r>
              <w:rPr>
                <w:rFonts w:cs="Times New Roman"/>
              </w:rPr>
              <w:t>i stručnog usavršavanja</w:t>
            </w:r>
          </w:p>
        </w:tc>
        <w:tc>
          <w:tcPr>
            <w:tcW w:w="918" w:type="dxa"/>
          </w:tcPr>
          <w:p w:rsidR="009520A9" w:rsidRDefault="00770482">
            <w:pPr>
              <w:jc w:val="center"/>
            </w:pPr>
            <w:r>
              <w:t>Broj</w:t>
            </w:r>
          </w:p>
        </w:tc>
        <w:tc>
          <w:tcPr>
            <w:tcW w:w="918" w:type="dxa"/>
          </w:tcPr>
          <w:p w:rsidR="009520A9" w:rsidRDefault="00770482">
            <w:pPr>
              <w:jc w:val="center"/>
            </w:pPr>
            <w:r>
              <w:t>270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275</w:t>
            </w:r>
          </w:p>
        </w:tc>
        <w:tc>
          <w:tcPr>
            <w:tcW w:w="918" w:type="dxa"/>
          </w:tcPr>
          <w:p w:rsidR="009520A9" w:rsidRDefault="00770482">
            <w:pPr>
              <w:jc w:val="center"/>
            </w:pPr>
            <w:r>
              <w:t>280</w:t>
            </w:r>
          </w:p>
        </w:tc>
        <w:tc>
          <w:tcPr>
            <w:tcW w:w="918" w:type="dxa"/>
          </w:tcPr>
          <w:p w:rsidR="009520A9" w:rsidRDefault="00770482">
            <w:pPr>
              <w:jc w:val="center"/>
            </w:pPr>
            <w:r>
              <w:t>285</w:t>
            </w:r>
          </w:p>
        </w:tc>
      </w:tr>
      <w:tr w:rsidR="009520A9">
        <w:trPr>
          <w:jc w:val="center"/>
        </w:trPr>
        <w:tc>
          <w:tcPr>
            <w:tcW w:w="2245" w:type="dxa"/>
            <w:vAlign w:val="top"/>
          </w:tcPr>
          <w:p w:rsidR="009520A9" w:rsidRDefault="00770482">
            <w:pPr>
              <w:pStyle w:val="CellColumn"/>
              <w:jc w:val="left"/>
            </w:pPr>
            <w:r>
              <w:rPr>
                <w:rFonts w:cs="Times New Roman"/>
              </w:rPr>
              <w:t>Broj organiziranih informativnih i edukativnih aktivnosti</w:t>
            </w:r>
          </w:p>
        </w:tc>
        <w:tc>
          <w:tcPr>
            <w:tcW w:w="2245" w:type="dxa"/>
            <w:vAlign w:val="top"/>
          </w:tcPr>
          <w:p w:rsidR="009520A9" w:rsidRDefault="00770482">
            <w:pPr>
              <w:pStyle w:val="CellColumn"/>
              <w:jc w:val="left"/>
            </w:pPr>
            <w:r>
              <w:rPr>
                <w:rFonts w:cs="Times New Roman"/>
              </w:rPr>
              <w:t>Organiziranjem edukativnih aktivnosti (seminari, info dani i webinari) promiču se europske dimenzije u profesionalnom usmjeravanju i stručno usavršavanje dionika u području profesionalnog usmjeravanja.</w:t>
            </w:r>
          </w:p>
        </w:tc>
        <w:tc>
          <w:tcPr>
            <w:tcW w:w="918" w:type="dxa"/>
          </w:tcPr>
          <w:p w:rsidR="009520A9" w:rsidRDefault="00770482">
            <w:pPr>
              <w:jc w:val="center"/>
            </w:pPr>
            <w:r>
              <w:t>Broj</w:t>
            </w:r>
          </w:p>
        </w:tc>
        <w:tc>
          <w:tcPr>
            <w:tcW w:w="918" w:type="dxa"/>
          </w:tcPr>
          <w:p w:rsidR="009520A9" w:rsidRDefault="00770482">
            <w:pPr>
              <w:jc w:val="center"/>
            </w:pPr>
            <w:r>
              <w:t>7</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8</w:t>
            </w:r>
          </w:p>
        </w:tc>
        <w:tc>
          <w:tcPr>
            <w:tcW w:w="918" w:type="dxa"/>
          </w:tcPr>
          <w:p w:rsidR="009520A9" w:rsidRDefault="00770482">
            <w:pPr>
              <w:jc w:val="center"/>
            </w:pPr>
            <w:r>
              <w:t>8</w:t>
            </w:r>
          </w:p>
        </w:tc>
        <w:tc>
          <w:tcPr>
            <w:tcW w:w="918" w:type="dxa"/>
          </w:tcPr>
          <w:p w:rsidR="009520A9" w:rsidRDefault="00770482">
            <w:pPr>
              <w:jc w:val="center"/>
            </w:pPr>
            <w:r>
              <w:t>9</w:t>
            </w:r>
          </w:p>
        </w:tc>
      </w:tr>
      <w:tr w:rsidR="009520A9">
        <w:trPr>
          <w:jc w:val="center"/>
        </w:trPr>
        <w:tc>
          <w:tcPr>
            <w:tcW w:w="2245" w:type="dxa"/>
            <w:vAlign w:val="top"/>
          </w:tcPr>
          <w:p w:rsidR="009520A9" w:rsidRDefault="00770482">
            <w:pPr>
              <w:pStyle w:val="CellColumn"/>
              <w:jc w:val="left"/>
            </w:pPr>
            <w:r>
              <w:rPr>
                <w:rFonts w:cs="Times New Roman"/>
              </w:rPr>
              <w:t>Broj izrađenih dokumenata Europass</w:t>
            </w:r>
            <w:r>
              <w:rPr>
                <w:rFonts w:cs="Times New Roman"/>
              </w:rPr>
              <w:t xml:space="preserve"> mobilnosti</w:t>
            </w:r>
          </w:p>
        </w:tc>
        <w:tc>
          <w:tcPr>
            <w:tcW w:w="2245" w:type="dxa"/>
            <w:vAlign w:val="top"/>
          </w:tcPr>
          <w:p w:rsidR="009520A9" w:rsidRDefault="00770482">
            <w:pPr>
              <w:pStyle w:val="CellColumn"/>
              <w:jc w:val="left"/>
            </w:pPr>
            <w:r>
              <w:rPr>
                <w:rFonts w:cs="Times New Roman"/>
              </w:rPr>
              <w:t>Europass mobilnost je dokument koji se kao potvrda mobilnosti izrađuje samo na nacionalnim Europass stranicama.</w:t>
            </w:r>
          </w:p>
        </w:tc>
        <w:tc>
          <w:tcPr>
            <w:tcW w:w="918" w:type="dxa"/>
          </w:tcPr>
          <w:p w:rsidR="009520A9" w:rsidRDefault="00770482">
            <w:pPr>
              <w:jc w:val="center"/>
            </w:pPr>
            <w:r>
              <w:t>Broj</w:t>
            </w:r>
          </w:p>
        </w:tc>
        <w:tc>
          <w:tcPr>
            <w:tcW w:w="918" w:type="dxa"/>
          </w:tcPr>
          <w:p w:rsidR="009520A9" w:rsidRDefault="00770482">
            <w:pPr>
              <w:jc w:val="center"/>
            </w:pPr>
            <w:r>
              <w:t>2000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2050</w:t>
            </w:r>
          </w:p>
        </w:tc>
        <w:tc>
          <w:tcPr>
            <w:tcW w:w="918" w:type="dxa"/>
          </w:tcPr>
          <w:p w:rsidR="009520A9" w:rsidRDefault="00770482">
            <w:pPr>
              <w:jc w:val="center"/>
            </w:pPr>
            <w:r>
              <w:t>2100</w:t>
            </w:r>
          </w:p>
        </w:tc>
        <w:tc>
          <w:tcPr>
            <w:tcW w:w="918" w:type="dxa"/>
          </w:tcPr>
          <w:p w:rsidR="009520A9" w:rsidRDefault="00770482">
            <w:pPr>
              <w:jc w:val="center"/>
            </w:pPr>
            <w:r>
              <w:t>2200</w:t>
            </w:r>
          </w:p>
        </w:tc>
      </w:tr>
      <w:tr w:rsidR="009520A9">
        <w:trPr>
          <w:jc w:val="center"/>
        </w:trPr>
        <w:tc>
          <w:tcPr>
            <w:tcW w:w="2245" w:type="dxa"/>
            <w:vAlign w:val="top"/>
          </w:tcPr>
          <w:p w:rsidR="009520A9" w:rsidRDefault="00770482">
            <w:pPr>
              <w:pStyle w:val="CellColumn"/>
              <w:jc w:val="left"/>
            </w:pPr>
            <w:r>
              <w:rPr>
                <w:rFonts w:cs="Times New Roman"/>
              </w:rPr>
              <w:t>Broj izdanih Europass priloga svjedodžbi</w:t>
            </w:r>
          </w:p>
        </w:tc>
        <w:tc>
          <w:tcPr>
            <w:tcW w:w="2245" w:type="dxa"/>
            <w:vAlign w:val="top"/>
          </w:tcPr>
          <w:p w:rsidR="009520A9" w:rsidRDefault="00770482">
            <w:pPr>
              <w:pStyle w:val="CellColumn"/>
              <w:jc w:val="left"/>
            </w:pPr>
            <w:r>
              <w:rPr>
                <w:rFonts w:cs="Times New Roman"/>
              </w:rPr>
              <w:t>Dokument Europass prilog svjedodžbi izrađuje se u suradnji s MZO, AZOO te ASOO. MZO utvrđuje broj strukovnih kvalifikacija za koje je potrebno izraditi priloge svjedodžbi u određenoj školskoj godini, nakon čega se pristupa izradi dokumenta.</w:t>
            </w:r>
          </w:p>
        </w:tc>
        <w:tc>
          <w:tcPr>
            <w:tcW w:w="918" w:type="dxa"/>
          </w:tcPr>
          <w:p w:rsidR="009520A9" w:rsidRDefault="00770482">
            <w:pPr>
              <w:jc w:val="center"/>
            </w:pPr>
            <w:r>
              <w:t>Broj</w:t>
            </w:r>
          </w:p>
        </w:tc>
        <w:tc>
          <w:tcPr>
            <w:tcW w:w="918" w:type="dxa"/>
          </w:tcPr>
          <w:p w:rsidR="009520A9" w:rsidRDefault="00770482">
            <w:pPr>
              <w:jc w:val="center"/>
            </w:pPr>
            <w:r>
              <w:t>38</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3</w:t>
            </w:r>
            <w:r>
              <w:t>9</w:t>
            </w:r>
          </w:p>
        </w:tc>
        <w:tc>
          <w:tcPr>
            <w:tcW w:w="918" w:type="dxa"/>
          </w:tcPr>
          <w:p w:rsidR="009520A9" w:rsidRDefault="00770482">
            <w:pPr>
              <w:jc w:val="center"/>
            </w:pPr>
            <w:r>
              <w:t>40</w:t>
            </w:r>
          </w:p>
        </w:tc>
        <w:tc>
          <w:tcPr>
            <w:tcW w:w="918" w:type="dxa"/>
          </w:tcPr>
          <w:p w:rsidR="009520A9" w:rsidRDefault="00770482">
            <w:pPr>
              <w:jc w:val="center"/>
            </w:pPr>
            <w:r>
              <w:t>42</w:t>
            </w:r>
          </w:p>
        </w:tc>
      </w:tr>
    </w:tbl>
    <w:p w:rsidR="009520A9" w:rsidRDefault="009520A9">
      <w:pPr>
        <w:jc w:val="left"/>
      </w:pPr>
    </w:p>
    <w:p w:rsidR="009520A9" w:rsidRDefault="00770482">
      <w:pPr>
        <w:pStyle w:val="Heading4"/>
      </w:pPr>
      <w:r>
        <w:t>A818071 VET RADNA SKUPINA</w:t>
      </w:r>
    </w:p>
    <w:p w:rsidR="009520A9" w:rsidRDefault="00770482">
      <w:pPr>
        <w:pStyle w:val="Heading8"/>
        <w:jc w:val="left"/>
      </w:pPr>
      <w:r>
        <w:t>Zakonske i druge pravne osnove</w:t>
      </w:r>
    </w:p>
    <w:p w:rsidR="009520A9" w:rsidRDefault="00770482">
      <w:r>
        <w:t>Zakon o Agenciji za mobilnost i programe EU, Ugovori s Europskom komisijom o provedbi programa i projekata., Uredba (EU) 2021/817 Europskog parlamenta i Vijeća od 20. svibnja 2021. o uspost</w:t>
      </w:r>
      <w:r>
        <w:t>avi programa Unije za obrazovanje i osposobljavanje, mlade i sport Erasmus+ te o stavljanju izvan snage Uredbe (EU) br. 1288/2013.</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A818071</w:t>
            </w:r>
          </w:p>
        </w:tc>
        <w:tc>
          <w:tcPr>
            <w:tcW w:w="1632" w:type="dxa"/>
            <w:vAlign w:val="top"/>
          </w:tcPr>
          <w:p w:rsidR="009520A9" w:rsidRDefault="00770482">
            <w:pPr>
              <w:jc w:val="right"/>
            </w:pPr>
            <w:r>
              <w:t>13.683</w:t>
            </w:r>
          </w:p>
        </w:tc>
        <w:tc>
          <w:tcPr>
            <w:tcW w:w="1632" w:type="dxa"/>
            <w:vAlign w:val="top"/>
          </w:tcPr>
          <w:p w:rsidR="009520A9" w:rsidRDefault="00770482">
            <w:pPr>
              <w:jc w:val="right"/>
            </w:pPr>
            <w:r>
              <w:t>33.139</w:t>
            </w:r>
          </w:p>
        </w:tc>
        <w:tc>
          <w:tcPr>
            <w:tcW w:w="1632" w:type="dxa"/>
            <w:vAlign w:val="top"/>
          </w:tcPr>
          <w:p w:rsidR="009520A9" w:rsidRDefault="00770482">
            <w:pPr>
              <w:jc w:val="right"/>
            </w:pPr>
            <w:r>
              <w:t>37.455</w:t>
            </w:r>
          </w:p>
        </w:tc>
        <w:tc>
          <w:tcPr>
            <w:tcW w:w="1632" w:type="dxa"/>
            <w:vAlign w:val="top"/>
          </w:tcPr>
          <w:p w:rsidR="009520A9" w:rsidRDefault="00770482">
            <w:pPr>
              <w:jc w:val="right"/>
            </w:pPr>
            <w:r>
              <w:t>39.328</w:t>
            </w:r>
          </w:p>
        </w:tc>
        <w:tc>
          <w:tcPr>
            <w:tcW w:w="1632" w:type="dxa"/>
            <w:vAlign w:val="top"/>
          </w:tcPr>
          <w:p w:rsidR="009520A9" w:rsidRDefault="00770482">
            <w:pPr>
              <w:jc w:val="right"/>
            </w:pPr>
            <w:r>
              <w:t>41.107</w:t>
            </w:r>
          </w:p>
        </w:tc>
        <w:tc>
          <w:tcPr>
            <w:tcW w:w="510" w:type="dxa"/>
            <w:vAlign w:val="top"/>
          </w:tcPr>
          <w:p w:rsidR="009520A9" w:rsidRDefault="00770482">
            <w:pPr>
              <w:jc w:val="right"/>
            </w:pPr>
            <w:r>
              <w:t>113,0</w:t>
            </w:r>
          </w:p>
        </w:tc>
      </w:tr>
    </w:tbl>
    <w:p w:rsidR="009520A9" w:rsidRDefault="009520A9">
      <w:pPr>
        <w:jc w:val="left"/>
      </w:pPr>
    </w:p>
    <w:p w:rsidR="009520A9" w:rsidRDefault="00770482">
      <w:r>
        <w:t>Ova aktivnost provodi se svake godine od 2022., a kao nastavak EU projekta pod nazivom Radna skupina stručnjaka za ECVET. Radi potrebe usklađivanja engleskog (National VET Team) i hrvatskog naziva radne skupine, predlaže se izmjena naziva proračunske stavk</w:t>
      </w:r>
      <w:r>
        <w:t xml:space="preserve">e iz „VET RADNA SKUPINA“ u „Radna skupina za strukovno obrazovanje“. </w:t>
      </w:r>
    </w:p>
    <w:p w:rsidR="009520A9" w:rsidRDefault="00770482">
      <w:r>
        <w:t xml:space="preserve">U razdoblju 2024. – 2026. očekuje se ostvarenje sljedećeg </w:t>
      </w:r>
    </w:p>
    <w:p w:rsidR="009520A9" w:rsidRDefault="00770482">
      <w:r>
        <w:t>Radna skupina za strukovno obrazovanje (eng. National VET Team) je inicijativa koju je Europska komisija pokrenula u sklopu nove generacije programa Erasmus+. Hrvatska radna skupina djeluje od siječnja 2021., a sačinjavaju je stručnjaci i projektni koordin</w:t>
      </w:r>
      <w:r>
        <w:t>atori u području strukovnog obrazovanja i osposobljavanja. Cilj djelovanja skupine je promicanje europskih alata za međunarodno učenje, osiguravanje kvalitete i priznavanje ishoda učenja, kao i promicanje Preporuke Vijeća o strukovnom obrazovanju i osposob</w:t>
      </w:r>
      <w:r>
        <w:t>ljavanju za održivu konkurentnost, socijalnu pravednost i otpornost. Glavne aktivnosti koje se financiraju u sklopu ove inicijative su redovni sastanci radne skupine, organizacija i provedba radionica s ciljem osvještavanja važnosti primjene europskih stru</w:t>
      </w:r>
      <w:r>
        <w:t>kovnih alata i principa, sudjelovanje na međunarodnim događanjima, savjetovanja potencijalnih prijavitelja i korisnika te sastanci na nacionalnoj razini s dionicima relevantnim za unaprjeđenje kvalitete međunarodnih mobilnosti u području strukovnog obrazov</w:t>
      </w:r>
      <w:r>
        <w:t xml:space="preserve">anja i osposobljavanja. </w:t>
      </w:r>
    </w:p>
    <w:p w:rsidR="009520A9" w:rsidRDefault="00770482">
      <w:r>
        <w:t xml:space="preserve">Ova aktivnost sastoji se od sljedećih elemenata: </w:t>
      </w:r>
    </w:p>
    <w:p w:rsidR="009520A9" w:rsidRDefault="00770482">
      <w:r>
        <w:t>1.</w:t>
      </w:r>
      <w:r>
        <w:tab/>
        <w:t xml:space="preserve">Rashodi za zaposlene </w:t>
      </w:r>
    </w:p>
    <w:p w:rsidR="009520A9" w:rsidRDefault="00770482">
      <w:r>
        <w:t>2.</w:t>
      </w:r>
      <w:r>
        <w:tab/>
        <w:t xml:space="preserve">Materijalni rashodi provedbe projekta </w:t>
      </w:r>
    </w:p>
    <w:p w:rsidR="009520A9" w:rsidRDefault="00770482">
      <w:r>
        <w:t xml:space="preserve">Izračun financijskog plana: </w:t>
      </w:r>
    </w:p>
    <w:p w:rsidR="009520A9" w:rsidRDefault="00770482">
      <w:r>
        <w:t>U 2024. godini, a isto tako i u narednim godinama 2025. i 2026., na izvoru 12 planira</w:t>
      </w:r>
      <w:r>
        <w:t>na su sredstva za redovan rad. U 2024. godini, na izvoru 12, planirana su sredstva za redovan rad za jednog djelatnika u ukupnom iznosu od 3.577 EUR. Rast planiranih aktivnosti prati i rast obujma poslova i angažmana odgovornog djelatnika te je slijedom to</w:t>
      </w:r>
      <w:r>
        <w:t xml:space="preserve">ga neznatno povećan iznos na stavci za plaće. Svrha navedenih troškova je koordiniranje inicijative Radna skupina za strukovno obrazovanje. </w:t>
      </w:r>
    </w:p>
    <w:p w:rsidR="009520A9" w:rsidRDefault="00770482">
      <w:r>
        <w:t>Sredstva s izvora 51 za 2024. planirana su u iznosu od 33.878 EUR. Znatno povećanje troška uslijedilo je zbog poras</w:t>
      </w:r>
      <w:r>
        <w:t xml:space="preserve">ta broja aktivnosti u okviru plana rada, povećanja broja članova radne skupine te visine njihovih honorara. Za 2025. i 2026. godinu planirano je povećanje sredstava od 5% na svim stavkama izvora 51.  </w:t>
      </w:r>
    </w:p>
    <w:p w:rsidR="009520A9" w:rsidRDefault="00770482">
      <w:r>
        <w:t>Trošak službenih putovanja na nacionalnoj i međunarodno</w:t>
      </w:r>
      <w:r>
        <w:t xml:space="preserve">j razini za zaposlenika AMPEU-a, povećan je uslijed poskupljena usluga putovanja, te je planiran je u iznosu od 4.000 EUR s izvora 51.  </w:t>
      </w:r>
    </w:p>
    <w:p w:rsidR="009520A9" w:rsidRDefault="00770482">
      <w:r>
        <w:t>Nastavno na povećanje broja članova, njihovih honorara te na poskupljenje usluga putovanja, troškovi za službena putova</w:t>
      </w:r>
      <w:r>
        <w:t>nja i honorare članova Radne skupine za strukovno obrazovanje planirani su u iznosu od 24.200 EUR, a tiču se njihovog sudjelovanja na redovnim aktivnostima (radionice, sastanci, savjetovanja korisnika, službena putovanja na nacionalna i međunarodna događan</w:t>
      </w:r>
      <w:r>
        <w:t xml:space="preserve">ja i sl.). </w:t>
      </w:r>
    </w:p>
    <w:p w:rsidR="009520A9" w:rsidRDefault="00770482">
      <w:r>
        <w:t xml:space="preserve">Ostali troškovi planirani su za izradu promotivnih materijala i ostale aktivnosti potrebne za kontinuirano provođenje i koordinaciju inicijative u 2024. godini. Troškovi za zakupnine i najamnine planirani su u iznosu od 2.000 EUR. Ovi troškovi </w:t>
      </w:r>
      <w:r>
        <w:t>su također planirani s izvora 51.</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sudionika na održanim radionicama</w:t>
            </w:r>
          </w:p>
        </w:tc>
        <w:tc>
          <w:tcPr>
            <w:tcW w:w="2245" w:type="dxa"/>
            <w:vAlign w:val="top"/>
          </w:tcPr>
          <w:p w:rsidR="009520A9" w:rsidRDefault="00770482">
            <w:pPr>
              <w:pStyle w:val="CellColumn"/>
              <w:jc w:val="left"/>
            </w:pPr>
            <w:r>
              <w:rPr>
                <w:rFonts w:cs="Times New Roman"/>
              </w:rPr>
              <w:t>Radna skupina za strukovno obrazovanje u suradnji s AMPEU, organizira i provodi radionice s ciljem promocije europskih alata za međunarodno učenje, osiguravanje kvalitete i priznavanje ishoda učenja</w:t>
            </w:r>
          </w:p>
        </w:tc>
        <w:tc>
          <w:tcPr>
            <w:tcW w:w="918" w:type="dxa"/>
          </w:tcPr>
          <w:p w:rsidR="009520A9" w:rsidRDefault="00770482">
            <w:pPr>
              <w:jc w:val="center"/>
            </w:pPr>
            <w:r>
              <w:t>broj</w:t>
            </w:r>
          </w:p>
        </w:tc>
        <w:tc>
          <w:tcPr>
            <w:tcW w:w="918" w:type="dxa"/>
          </w:tcPr>
          <w:p w:rsidR="009520A9" w:rsidRDefault="00770482">
            <w:pPr>
              <w:jc w:val="center"/>
            </w:pPr>
            <w:r>
              <w:t>245</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250</w:t>
            </w:r>
          </w:p>
        </w:tc>
        <w:tc>
          <w:tcPr>
            <w:tcW w:w="918" w:type="dxa"/>
          </w:tcPr>
          <w:p w:rsidR="009520A9" w:rsidRDefault="00770482">
            <w:pPr>
              <w:jc w:val="center"/>
            </w:pPr>
            <w:r>
              <w:t>255</w:t>
            </w:r>
          </w:p>
        </w:tc>
        <w:tc>
          <w:tcPr>
            <w:tcW w:w="918" w:type="dxa"/>
          </w:tcPr>
          <w:p w:rsidR="009520A9" w:rsidRDefault="00770482">
            <w:pPr>
              <w:jc w:val="center"/>
            </w:pPr>
            <w:r>
              <w:t>260</w:t>
            </w:r>
          </w:p>
        </w:tc>
      </w:tr>
    </w:tbl>
    <w:p w:rsidR="009520A9" w:rsidRDefault="009520A9">
      <w:pPr>
        <w:jc w:val="left"/>
      </w:pPr>
    </w:p>
    <w:p w:rsidR="009520A9" w:rsidRDefault="00770482">
      <w:pPr>
        <w:pStyle w:val="Heading4"/>
      </w:pPr>
      <w:r>
        <w:t>A818073 SALTO - REFERENTNI CENTAR ZA TEMU UKLJUČIVOSTI U PODRUČJU OBRAZOVANJA NA EUROPSKOJ RAZINI</w:t>
      </w:r>
    </w:p>
    <w:p w:rsidR="009520A9" w:rsidRDefault="00770482">
      <w:pPr>
        <w:pStyle w:val="Heading8"/>
        <w:jc w:val="left"/>
      </w:pPr>
      <w:r>
        <w:t>Zakonske i druge pravne osnove</w:t>
      </w:r>
    </w:p>
    <w:p w:rsidR="009520A9" w:rsidRDefault="00770482">
      <w:r>
        <w:t>Zakon o Agenciji za mobilnost i programe EU, Uredba (EU) 2021/817 Europskog parlamenta i Vijeća od 20. svibnja 2021. o uspostav</w:t>
      </w:r>
      <w:r>
        <w:t>i programa Unije za obrazovanje i osposobljavanje, mlade i sport Erasmus+ te o stavljanju izvan snage Uredbe (EU) br. 1288/2013., Ugovori s Europskom komisijom o provedbi programa i projekata.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w:t>
            </w:r>
            <w:r>
              <w:rPr>
                <w:rFonts w:cs="Times New Roman"/>
              </w:rPr>
              <w:t>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A818073</w:t>
            </w:r>
          </w:p>
        </w:tc>
        <w:tc>
          <w:tcPr>
            <w:tcW w:w="1632" w:type="dxa"/>
            <w:vAlign w:val="top"/>
          </w:tcPr>
          <w:p w:rsidR="009520A9" w:rsidRDefault="00770482">
            <w:pPr>
              <w:jc w:val="right"/>
            </w:pPr>
            <w:r>
              <w:t>6.670</w:t>
            </w:r>
          </w:p>
        </w:tc>
        <w:tc>
          <w:tcPr>
            <w:tcW w:w="1632" w:type="dxa"/>
            <w:vAlign w:val="top"/>
          </w:tcPr>
          <w:p w:rsidR="009520A9" w:rsidRDefault="00770482">
            <w:pPr>
              <w:jc w:val="right"/>
            </w:pPr>
            <w:r>
              <w:t>258.051</w:t>
            </w:r>
          </w:p>
        </w:tc>
        <w:tc>
          <w:tcPr>
            <w:tcW w:w="1632" w:type="dxa"/>
            <w:vAlign w:val="top"/>
          </w:tcPr>
          <w:p w:rsidR="009520A9" w:rsidRDefault="00770482">
            <w:pPr>
              <w:jc w:val="right"/>
            </w:pPr>
            <w:r>
              <w:t>296.153</w:t>
            </w:r>
          </w:p>
        </w:tc>
        <w:tc>
          <w:tcPr>
            <w:tcW w:w="1632" w:type="dxa"/>
            <w:vAlign w:val="top"/>
          </w:tcPr>
          <w:p w:rsidR="009520A9" w:rsidRDefault="00770482">
            <w:pPr>
              <w:jc w:val="right"/>
            </w:pPr>
            <w:r>
              <w:t>310.960</w:t>
            </w:r>
          </w:p>
        </w:tc>
        <w:tc>
          <w:tcPr>
            <w:tcW w:w="1632" w:type="dxa"/>
            <w:vAlign w:val="top"/>
          </w:tcPr>
          <w:p w:rsidR="009520A9" w:rsidRDefault="00770482">
            <w:pPr>
              <w:jc w:val="right"/>
            </w:pPr>
            <w:r>
              <w:t>325.716</w:t>
            </w:r>
          </w:p>
        </w:tc>
        <w:tc>
          <w:tcPr>
            <w:tcW w:w="510" w:type="dxa"/>
            <w:vAlign w:val="top"/>
          </w:tcPr>
          <w:p w:rsidR="009520A9" w:rsidRDefault="00770482">
            <w:pPr>
              <w:jc w:val="right"/>
            </w:pPr>
            <w:r>
              <w:t>114,8</w:t>
            </w:r>
          </w:p>
        </w:tc>
      </w:tr>
    </w:tbl>
    <w:p w:rsidR="009520A9" w:rsidRDefault="009520A9">
      <w:pPr>
        <w:jc w:val="left"/>
      </w:pPr>
    </w:p>
    <w:p w:rsidR="009520A9" w:rsidRDefault="00770482">
      <w:r>
        <w:t>Radi potrebe usklađivanja engleskog i hrvatskog naziva mreže, predlaže se izmjena naziva proračunske stavke iz „SALTO - REFERENTNI CENTAR ZA TEMU UKLJUČIVOSTI U PODRUČJU OBRAZOVANJA NA EUROPSKOJ RAZINI“ u „SALTO resursni centar za uključivanje i raznolikos</w:t>
      </w:r>
      <w:r>
        <w:t xml:space="preserve">t u području obrazovanja i osposobljavanja. </w:t>
      </w:r>
    </w:p>
    <w:p w:rsidR="009520A9" w:rsidRDefault="00770482">
      <w:r>
        <w:t xml:space="preserve"> </w:t>
      </w:r>
    </w:p>
    <w:p w:rsidR="009520A9" w:rsidRDefault="00770482">
      <w:r>
        <w:t>Ova aktivnost provodi se svake godine od 2022. U sklopu provedbe programa Erasmus+ za programsko razdoblje 2021.-2027., Europska komisija je u travnju 2022. Agenciju imenovala europskim SALTO resursnim centrom za uključivanje i raznolikost u području obraz</w:t>
      </w:r>
      <w:r>
        <w:t xml:space="preserve">ovanja. Sukladno trenutnom imenovanju, rad SALTO resursnog centra trajat će do kraja 2027. godine uz perspektivu nastavka rada i u programskom razdoblju nakon 2027.  </w:t>
      </w:r>
    </w:p>
    <w:p w:rsidR="009520A9" w:rsidRDefault="00770482">
      <w:r>
        <w:t xml:space="preserve"> </w:t>
      </w:r>
    </w:p>
    <w:p w:rsidR="009520A9" w:rsidRDefault="00770482">
      <w:r>
        <w:t xml:space="preserve">U razdoblju 2024. – 2026. resursni centar SALTO provodit će sljedeće aktivnosti: </w:t>
      </w:r>
    </w:p>
    <w:p w:rsidR="009520A9" w:rsidRDefault="00770482">
      <w:r>
        <w:t>•</w:t>
      </w:r>
      <w:r>
        <w:tab/>
        <w:t xml:space="preserve">savjetovanje nacionalnih agencija u procesu izrade i ažuriranja strategija za uključivanje i raznolikost </w:t>
      </w:r>
    </w:p>
    <w:p w:rsidR="009520A9" w:rsidRDefault="00770482">
      <w:r>
        <w:t>•</w:t>
      </w:r>
      <w:r>
        <w:tab/>
        <w:t xml:space="preserve">provedba istraživanja o praksama i potrebama nacionalnih agencija i korisnika </w:t>
      </w:r>
    </w:p>
    <w:p w:rsidR="009520A9" w:rsidRDefault="00770482">
      <w:r>
        <w:t>•</w:t>
      </w:r>
      <w:r>
        <w:tab/>
        <w:t xml:space="preserve">izrada i održavanje mrežne stranice i društvenih mreža </w:t>
      </w:r>
    </w:p>
    <w:p w:rsidR="009520A9" w:rsidRDefault="00770482">
      <w:r>
        <w:t>•</w:t>
      </w:r>
      <w:r>
        <w:tab/>
        <w:t>organiz</w:t>
      </w:r>
      <w:r>
        <w:t xml:space="preserve">acija radnih sastanaka zaposlenika nacionalnih agencija </w:t>
      </w:r>
    </w:p>
    <w:p w:rsidR="009520A9" w:rsidRDefault="00770482">
      <w:r>
        <w:t>•</w:t>
      </w:r>
      <w:r>
        <w:tab/>
        <w:t xml:space="preserve">izrada e-tečaja za zaposlenike nacionalnih agencija i vanjske ocjenjivače </w:t>
      </w:r>
    </w:p>
    <w:p w:rsidR="009520A9" w:rsidRDefault="00770482">
      <w:r>
        <w:t>•</w:t>
      </w:r>
      <w:r>
        <w:tab/>
        <w:t xml:space="preserve">promoviranje primjera dobre prakse </w:t>
      </w:r>
    </w:p>
    <w:p w:rsidR="009520A9" w:rsidRDefault="00770482">
      <w:r>
        <w:t>•</w:t>
      </w:r>
      <w:r>
        <w:tab/>
        <w:t xml:space="preserve">izrada smjernica i publikacija </w:t>
      </w:r>
    </w:p>
    <w:p w:rsidR="009520A9" w:rsidRDefault="00770482">
      <w:r>
        <w:t>•</w:t>
      </w:r>
      <w:r>
        <w:tab/>
        <w:t>sudjelovanje na međunarodnim konferencijama, sem</w:t>
      </w:r>
      <w:r>
        <w:t xml:space="preserve">inarima i drugim relevantnim međunarodnim događanjima </w:t>
      </w:r>
    </w:p>
    <w:p w:rsidR="009520A9" w:rsidRDefault="00770482">
      <w:r>
        <w:t xml:space="preserve">Ova aktivnost sastoji se od sljedećih elemenata: </w:t>
      </w:r>
    </w:p>
    <w:p w:rsidR="009520A9" w:rsidRDefault="00770482">
      <w:r>
        <w:t>1.</w:t>
      </w:r>
      <w:r>
        <w:tab/>
        <w:t xml:space="preserve">Rashodi za zaposlene </w:t>
      </w:r>
    </w:p>
    <w:p w:rsidR="009520A9" w:rsidRDefault="00770482">
      <w:r>
        <w:t>2.</w:t>
      </w:r>
      <w:r>
        <w:tab/>
        <w:t xml:space="preserve">Materijalni rashodi provedbe projekta </w:t>
      </w:r>
    </w:p>
    <w:p w:rsidR="009520A9" w:rsidRDefault="00770482">
      <w:r>
        <w:t>3.</w:t>
      </w:r>
      <w:r>
        <w:tab/>
        <w:t xml:space="preserve">Rashodi za nabavu proizvedene dugotrajne imovine </w:t>
      </w:r>
    </w:p>
    <w:p w:rsidR="009520A9" w:rsidRDefault="00770482">
      <w:r>
        <w:t>4.</w:t>
      </w:r>
      <w:r>
        <w:tab/>
        <w:t xml:space="preserve">Financijski rashodi. </w:t>
      </w:r>
    </w:p>
    <w:p w:rsidR="009520A9" w:rsidRDefault="00770482">
      <w:r>
        <w:t xml:space="preserve"> </w:t>
      </w:r>
    </w:p>
    <w:p w:rsidR="009520A9" w:rsidRDefault="00770482">
      <w:r>
        <w:t>Izra</w:t>
      </w:r>
      <w:r>
        <w:t xml:space="preserve">čun financijskog plana: </w:t>
      </w:r>
    </w:p>
    <w:p w:rsidR="009520A9" w:rsidRDefault="00770482">
      <w:r>
        <w:t>U 2024. godini, a isto tako i u narednim godinama 2025. i 2026., na izvoru 12 planirana su sredstva za redovan rad u iznosu od 15.119 EUR, a na izvoru 51 planiran je preostali dio u iznosu od 80.601 EUR. Sredstva su povećana u odno</w:t>
      </w:r>
      <w:r>
        <w:t xml:space="preserve">su na tekući plan za 2023. godinu budući da je planiran povećan broj zaposlenika te su sredstva namijenjena za plaće četiri djelatnika. Svrha navedenih troškova je koordinacija i realizacija aktivnosti predviđenih godišnjih programom. </w:t>
      </w:r>
    </w:p>
    <w:p w:rsidR="009520A9" w:rsidRDefault="00770482">
      <w:r>
        <w:t>Sredstva s izvora 51</w:t>
      </w:r>
      <w:r>
        <w:t xml:space="preserve"> za 2024. planirana su u iznosu od 281.034 EUR. Povećanje sredstava u odnosu na tekući plan je također rezultat je povećanja broja djelatnika mogućnosti odrađivati veći broj aktivnosti čija će posljedica biti povećanje rashoda tijekom godine. Za 2025. i 20</w:t>
      </w:r>
      <w:r>
        <w:t xml:space="preserve">26. godinu planirano je povećanje sredstava od 5% na svim stavkama izvora 51. Trošak službenih putovanja na nacionalnoj i međunarodnoj razini za zaposlenika AMPEU-a planiran je u iznosu od 18.000 EUR s izvora 51.  </w:t>
      </w:r>
    </w:p>
    <w:p w:rsidR="009520A9" w:rsidRDefault="00770482">
      <w:r>
        <w:t xml:space="preserve">Trošak intelektualnih usluga u iznosu od </w:t>
      </w:r>
      <w:r>
        <w:t>123.000 EUR predviđen je za troškove podugovaranja stručnjaka i tvrtki koje će biti angažirane na pojedinim aktivnostima (izrada e-tečaja, savjetovanje u procesu izrade nacionalnih strategija, izrada videomaterijala, izrada priručnika, provedba analize pot</w:t>
      </w:r>
      <w:r>
        <w:t xml:space="preserve">reba i sl.). </w:t>
      </w:r>
    </w:p>
    <w:p w:rsidR="009520A9" w:rsidRDefault="00770482">
      <w:r>
        <w:t>Ostali troškovi u iznosu od 59.433 EUR planirani su za izradu promotivnih materijala, zakupnine i najamnine, kampanje na društvenim mrežama, stručno usavršavanje zaposlenika, računalne usluge i ostale aktivnosti potrebne za kontinuirano provo</w:t>
      </w:r>
      <w:r>
        <w:t xml:space="preserve">đenje i koordinaciju inicijative u 2024. godini.  </w:t>
      </w:r>
    </w:p>
    <w:p w:rsidR="009520A9" w:rsidRDefault="00770482">
      <w:r>
        <w:t>S obzirom na početak djelovanja ove aktivnosti, moguće su naknadne izmjene i dopune pokazatelja rezultata.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objavljenih publikacija</w:t>
            </w:r>
          </w:p>
        </w:tc>
        <w:tc>
          <w:tcPr>
            <w:tcW w:w="2245" w:type="dxa"/>
            <w:vAlign w:val="top"/>
          </w:tcPr>
          <w:p w:rsidR="009520A9" w:rsidRDefault="00770482">
            <w:pPr>
              <w:pStyle w:val="CellColumn"/>
              <w:jc w:val="left"/>
            </w:pPr>
            <w:r>
              <w:rPr>
                <w:rFonts w:cs="Times New Roman"/>
              </w:rPr>
              <w:t>Broj publikacija koje je resursni centar SALTO objavio na temu uključivanja i raznolikosti</w:t>
            </w:r>
          </w:p>
        </w:tc>
        <w:tc>
          <w:tcPr>
            <w:tcW w:w="918" w:type="dxa"/>
          </w:tcPr>
          <w:p w:rsidR="009520A9" w:rsidRDefault="00770482">
            <w:pPr>
              <w:jc w:val="center"/>
            </w:pPr>
            <w:r>
              <w:t>broj</w:t>
            </w:r>
          </w:p>
        </w:tc>
        <w:tc>
          <w:tcPr>
            <w:tcW w:w="918" w:type="dxa"/>
          </w:tcPr>
          <w:p w:rsidR="009520A9" w:rsidRDefault="00770482">
            <w:pPr>
              <w:jc w:val="center"/>
            </w:pPr>
            <w:r>
              <w:t>3</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4</w:t>
            </w:r>
          </w:p>
        </w:tc>
        <w:tc>
          <w:tcPr>
            <w:tcW w:w="918" w:type="dxa"/>
          </w:tcPr>
          <w:p w:rsidR="009520A9" w:rsidRDefault="00770482">
            <w:pPr>
              <w:jc w:val="center"/>
            </w:pPr>
            <w:r>
              <w:t>5</w:t>
            </w:r>
          </w:p>
        </w:tc>
        <w:tc>
          <w:tcPr>
            <w:tcW w:w="918" w:type="dxa"/>
          </w:tcPr>
          <w:p w:rsidR="009520A9" w:rsidRDefault="00770482">
            <w:pPr>
              <w:jc w:val="center"/>
            </w:pPr>
            <w:r>
              <w:t>6</w:t>
            </w:r>
          </w:p>
        </w:tc>
      </w:tr>
      <w:tr w:rsidR="009520A9">
        <w:trPr>
          <w:jc w:val="center"/>
        </w:trPr>
        <w:tc>
          <w:tcPr>
            <w:tcW w:w="2245" w:type="dxa"/>
            <w:vAlign w:val="top"/>
          </w:tcPr>
          <w:p w:rsidR="009520A9" w:rsidRDefault="00770482">
            <w:pPr>
              <w:pStyle w:val="CellColumn"/>
              <w:jc w:val="left"/>
            </w:pPr>
            <w:r>
              <w:rPr>
                <w:rFonts w:cs="Times New Roman"/>
              </w:rPr>
              <w:t>Broj održanih događanja</w:t>
            </w:r>
          </w:p>
        </w:tc>
        <w:tc>
          <w:tcPr>
            <w:tcW w:w="2245" w:type="dxa"/>
            <w:vAlign w:val="top"/>
          </w:tcPr>
          <w:p w:rsidR="009520A9" w:rsidRDefault="00770482">
            <w:pPr>
              <w:pStyle w:val="CellColumn"/>
              <w:jc w:val="left"/>
            </w:pPr>
            <w:r>
              <w:rPr>
                <w:rFonts w:cs="Times New Roman"/>
              </w:rPr>
              <w:t>Broj održanih događanja koji su organizirani u svrhu promocije prioriteta uključivanja i raznolikosti i pružanja podrške</w:t>
            </w:r>
          </w:p>
        </w:tc>
        <w:tc>
          <w:tcPr>
            <w:tcW w:w="918" w:type="dxa"/>
          </w:tcPr>
          <w:p w:rsidR="009520A9" w:rsidRDefault="00770482">
            <w:pPr>
              <w:jc w:val="center"/>
            </w:pPr>
            <w:r>
              <w:t>broj</w:t>
            </w:r>
          </w:p>
        </w:tc>
        <w:tc>
          <w:tcPr>
            <w:tcW w:w="918" w:type="dxa"/>
          </w:tcPr>
          <w:p w:rsidR="009520A9" w:rsidRDefault="00770482">
            <w:pPr>
              <w:jc w:val="center"/>
            </w:pPr>
            <w:r>
              <w:t>15</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17</w:t>
            </w:r>
          </w:p>
        </w:tc>
        <w:tc>
          <w:tcPr>
            <w:tcW w:w="918" w:type="dxa"/>
          </w:tcPr>
          <w:p w:rsidR="009520A9" w:rsidRDefault="00770482">
            <w:pPr>
              <w:jc w:val="center"/>
            </w:pPr>
            <w:r>
              <w:t>19</w:t>
            </w:r>
          </w:p>
        </w:tc>
        <w:tc>
          <w:tcPr>
            <w:tcW w:w="918" w:type="dxa"/>
          </w:tcPr>
          <w:p w:rsidR="009520A9" w:rsidRDefault="00770482">
            <w:pPr>
              <w:jc w:val="center"/>
            </w:pPr>
            <w:r>
              <w:t>21</w:t>
            </w:r>
          </w:p>
        </w:tc>
      </w:tr>
    </w:tbl>
    <w:p w:rsidR="009520A9" w:rsidRDefault="009520A9">
      <w:pPr>
        <w:jc w:val="left"/>
      </w:pPr>
    </w:p>
    <w:p w:rsidR="009520A9" w:rsidRDefault="00770482">
      <w:pPr>
        <w:pStyle w:val="Heading4"/>
      </w:pPr>
      <w:r>
        <w:t>A818075 ERASMUS - PROJEKTI ZA KORISNIKE PODRUČJA SPORT OD 2021. DO 2027.</w:t>
      </w:r>
    </w:p>
    <w:p w:rsidR="009520A9" w:rsidRDefault="00770482">
      <w:pPr>
        <w:pStyle w:val="Heading8"/>
        <w:jc w:val="left"/>
      </w:pPr>
      <w:r>
        <w:t>Zakonske i druge pravne osnove</w:t>
      </w:r>
    </w:p>
    <w:p w:rsidR="009520A9" w:rsidRDefault="00770482">
      <w:r>
        <w:t xml:space="preserve">Zakon </w:t>
      </w:r>
      <w:r>
        <w:t>o Agenciji za mobilnost i programe EU (AMPEU), Uredba (EU) 2021/817 Europskog parlamenta i Vijeća od 20. svibnja 2021. o uspostavi programa Unije za obrazovanje i osposobljavanje, mlade i sport Erasmus+ te o stavljanju izvan snage Uredbe (EU) br. 1288/2013</w:t>
      </w:r>
      <w:r>
        <w:t>., Ugovori s Europskom komisijom o provedbi programa i projekata.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A818075</w:t>
            </w:r>
          </w:p>
        </w:tc>
        <w:tc>
          <w:tcPr>
            <w:tcW w:w="1632" w:type="dxa"/>
            <w:vAlign w:val="top"/>
          </w:tcPr>
          <w:p w:rsidR="009520A9" w:rsidRDefault="00770482">
            <w:pPr>
              <w:jc w:val="right"/>
            </w:pPr>
            <w:r>
              <w:t>00</w:t>
            </w:r>
          </w:p>
        </w:tc>
        <w:tc>
          <w:tcPr>
            <w:tcW w:w="1632" w:type="dxa"/>
            <w:vAlign w:val="top"/>
          </w:tcPr>
          <w:p w:rsidR="009520A9" w:rsidRDefault="00770482">
            <w:pPr>
              <w:jc w:val="right"/>
            </w:pPr>
            <w:r>
              <w:t>106.830</w:t>
            </w:r>
          </w:p>
        </w:tc>
        <w:tc>
          <w:tcPr>
            <w:tcW w:w="1632" w:type="dxa"/>
            <w:vAlign w:val="top"/>
          </w:tcPr>
          <w:p w:rsidR="009520A9" w:rsidRDefault="00770482">
            <w:pPr>
              <w:jc w:val="right"/>
            </w:pPr>
            <w:r>
              <w:t>120.000</w:t>
            </w:r>
          </w:p>
        </w:tc>
        <w:tc>
          <w:tcPr>
            <w:tcW w:w="1632" w:type="dxa"/>
            <w:vAlign w:val="top"/>
          </w:tcPr>
          <w:p w:rsidR="009520A9" w:rsidRDefault="00770482">
            <w:pPr>
              <w:jc w:val="right"/>
            </w:pPr>
            <w:r>
              <w:t>124.800</w:t>
            </w:r>
          </w:p>
        </w:tc>
        <w:tc>
          <w:tcPr>
            <w:tcW w:w="1632" w:type="dxa"/>
            <w:vAlign w:val="top"/>
          </w:tcPr>
          <w:p w:rsidR="009520A9" w:rsidRDefault="00770482">
            <w:pPr>
              <w:jc w:val="right"/>
            </w:pPr>
            <w:r>
              <w:t>129.792</w:t>
            </w:r>
          </w:p>
        </w:tc>
        <w:tc>
          <w:tcPr>
            <w:tcW w:w="510" w:type="dxa"/>
            <w:vAlign w:val="top"/>
          </w:tcPr>
          <w:p w:rsidR="009520A9" w:rsidRDefault="00770482">
            <w:pPr>
              <w:jc w:val="right"/>
            </w:pPr>
            <w:r>
              <w:t>112,3</w:t>
            </w:r>
          </w:p>
        </w:tc>
      </w:tr>
    </w:tbl>
    <w:p w:rsidR="009520A9" w:rsidRDefault="009520A9">
      <w:pPr>
        <w:jc w:val="left"/>
      </w:pPr>
    </w:p>
    <w:p w:rsidR="009520A9" w:rsidRDefault="00770482">
      <w:r>
        <w:t xml:space="preserve">U razdoblju 2024. – 2026. očekuje se ostvarenje sljedećeg: </w:t>
      </w:r>
    </w:p>
    <w:p w:rsidR="009520A9" w:rsidRDefault="00770482">
      <w:r>
        <w:t>Erasmus+ 2021.-2027. najveći je program Europske unije za obrazovanje, osposobljavanje, mlade i sport. Program obuhvaća i aktivnosti u području sporta, čime se promiče sudjelovanje u sportu, fizič</w:t>
      </w:r>
      <w:r>
        <w:t xml:space="preserve">kim aktivnostima i volonterskom djelovanju. </w:t>
      </w:r>
    </w:p>
    <w:p w:rsidR="009520A9" w:rsidRDefault="00770482">
      <w:r>
        <w:t xml:space="preserve">Ova aktivnost provodi se svake godine od 2023. godine. Projekti mobilnosti u području sporta pružaju mogućnost za profesionalni razvoj trenera i ostalog osoblja (plaćenog i volonterskog) u lokalnom, amaterskom, </w:t>
      </w:r>
      <w:r>
        <w:t xml:space="preserve">sportu kroz sudjelovanje u praćenju rada ili treniranja drugog kluba u inozemstvu.  </w:t>
      </w:r>
    </w:p>
    <w:p w:rsidR="009520A9" w:rsidRDefault="00770482">
      <w:r>
        <w:t>Provedba već ugovorenih te nova ugovaranja nastavljaju se provoditi svake godine do završetka programa Erasmus+ 2021.-2027. EK dostavlja program rada svim državama članica</w:t>
      </w:r>
      <w:r>
        <w:t xml:space="preserve">ma sa inicijalno propisanim financijskim iznosima potpore. AMPEU potpisuje ugovor s EK u kojem može doći do korekcije inicijalnog iznosa. </w:t>
      </w:r>
    </w:p>
    <w:p w:rsidR="009520A9" w:rsidRDefault="00770482">
      <w:r>
        <w:t xml:space="preserve">Ova aktivnost sastoji se od sljedećih elemenata: </w:t>
      </w:r>
    </w:p>
    <w:p w:rsidR="009520A9" w:rsidRDefault="00770482">
      <w:r>
        <w:t>1.</w:t>
      </w:r>
      <w:r>
        <w:tab/>
        <w:t>Isplate predujma, privremene isplate i završne isplate korisnici</w:t>
      </w:r>
      <w:r>
        <w:t xml:space="preserve">ma temeljem ugovora o bespovratnoj dodjeli sredstava. </w:t>
      </w:r>
    </w:p>
    <w:p w:rsidR="009520A9" w:rsidRDefault="00770482">
      <w:r>
        <w:t xml:space="preserve">Izračun financijskog plana: </w:t>
      </w:r>
    </w:p>
    <w:p w:rsidR="009520A9" w:rsidRDefault="00770482">
      <w:r>
        <w:t>Prijedlog proračuna za 2024. godinu kao i projekcije za 2025. i 2026. godinu u skladu su s predviđenom alokacijom sredstava za Republiku Hrvatsku te Višegodišnjim financijs</w:t>
      </w:r>
      <w:r>
        <w:t>kim okvirom Europske unije. U 2024. godini očekuju se isplate predujmova iz natječajne 2024. godine, zatim isplate završnih isplata projekata iz 2023. natječajne godine te moguće isplate po privremenim izvješćima.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ugovorenih projekata u području sporta</w:t>
            </w:r>
          </w:p>
        </w:tc>
        <w:tc>
          <w:tcPr>
            <w:tcW w:w="2245" w:type="dxa"/>
            <w:vAlign w:val="top"/>
          </w:tcPr>
          <w:p w:rsidR="009520A9" w:rsidRDefault="00770482">
            <w:pPr>
              <w:pStyle w:val="CellColumn"/>
              <w:jc w:val="left"/>
            </w:pPr>
            <w:r>
              <w:rPr>
                <w:rFonts w:cs="Times New Roman"/>
              </w:rPr>
              <w:t>Broj projekata u području sporta ugovorenih u okviru dotičnoga Poziva</w:t>
            </w:r>
          </w:p>
        </w:tc>
        <w:tc>
          <w:tcPr>
            <w:tcW w:w="918" w:type="dxa"/>
          </w:tcPr>
          <w:p w:rsidR="009520A9" w:rsidRDefault="00770482">
            <w:pPr>
              <w:jc w:val="center"/>
            </w:pPr>
            <w:r>
              <w:t>broj</w:t>
            </w:r>
          </w:p>
        </w:tc>
        <w:tc>
          <w:tcPr>
            <w:tcW w:w="918" w:type="dxa"/>
          </w:tcPr>
          <w:p w:rsidR="009520A9" w:rsidRDefault="00770482">
            <w:pPr>
              <w:jc w:val="center"/>
            </w:pPr>
            <w:r>
              <w:t>8</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10</w:t>
            </w:r>
          </w:p>
        </w:tc>
        <w:tc>
          <w:tcPr>
            <w:tcW w:w="918" w:type="dxa"/>
          </w:tcPr>
          <w:p w:rsidR="009520A9" w:rsidRDefault="00770482">
            <w:pPr>
              <w:jc w:val="center"/>
            </w:pPr>
            <w:r>
              <w:t>12</w:t>
            </w:r>
          </w:p>
        </w:tc>
        <w:tc>
          <w:tcPr>
            <w:tcW w:w="918" w:type="dxa"/>
          </w:tcPr>
          <w:p w:rsidR="009520A9" w:rsidRDefault="00770482">
            <w:pPr>
              <w:jc w:val="center"/>
            </w:pPr>
            <w:r>
              <w:t>14</w:t>
            </w:r>
          </w:p>
        </w:tc>
      </w:tr>
      <w:tr w:rsidR="009520A9">
        <w:trPr>
          <w:jc w:val="center"/>
        </w:trPr>
        <w:tc>
          <w:tcPr>
            <w:tcW w:w="2245" w:type="dxa"/>
            <w:vAlign w:val="top"/>
          </w:tcPr>
          <w:p w:rsidR="009520A9" w:rsidRDefault="00770482">
            <w:pPr>
              <w:pStyle w:val="CellColumn"/>
              <w:jc w:val="left"/>
            </w:pPr>
            <w:r>
              <w:rPr>
                <w:rFonts w:cs="Times New Roman"/>
              </w:rPr>
              <w:t>Broj sportskog osoblja / trenera koji su sudjelovali u aktivnostima profesionalnog razvoja u inozemstvu uz potporu programa Erasmus+</w:t>
            </w:r>
          </w:p>
        </w:tc>
        <w:tc>
          <w:tcPr>
            <w:tcW w:w="2245" w:type="dxa"/>
            <w:vAlign w:val="top"/>
          </w:tcPr>
          <w:p w:rsidR="009520A9" w:rsidRDefault="00770482">
            <w:pPr>
              <w:pStyle w:val="CellColumn"/>
              <w:jc w:val="left"/>
            </w:pPr>
            <w:r>
              <w:rPr>
                <w:rFonts w:cs="Times New Roman"/>
              </w:rPr>
              <w:t>Mjeriti na godišnjoj bazi obuhvat sportskog osoblja koji sudjeluju u aktivnostima profesionalnog razvoja u inozemstvu uz potporu programa Erasmus+.</w:t>
            </w:r>
          </w:p>
        </w:tc>
        <w:tc>
          <w:tcPr>
            <w:tcW w:w="918" w:type="dxa"/>
          </w:tcPr>
          <w:p w:rsidR="009520A9" w:rsidRDefault="00770482">
            <w:pPr>
              <w:jc w:val="center"/>
            </w:pPr>
            <w:r>
              <w:t>broj</w:t>
            </w:r>
          </w:p>
        </w:tc>
        <w:tc>
          <w:tcPr>
            <w:tcW w:w="918" w:type="dxa"/>
          </w:tcPr>
          <w:p w:rsidR="009520A9" w:rsidRDefault="00770482">
            <w:pPr>
              <w:jc w:val="center"/>
            </w:pPr>
            <w:r>
              <w:t>30</w:t>
            </w:r>
          </w:p>
        </w:tc>
        <w:tc>
          <w:tcPr>
            <w:tcW w:w="918" w:type="dxa"/>
          </w:tcPr>
          <w:p w:rsidR="009520A9" w:rsidRDefault="00770482">
            <w:pPr>
              <w:pStyle w:val="CellColumn"/>
              <w:jc w:val="center"/>
            </w:pPr>
            <w:r>
              <w:rPr>
                <w:rFonts w:cs="Times New Roman"/>
              </w:rPr>
              <w:t>AMPEU</w:t>
            </w:r>
          </w:p>
        </w:tc>
        <w:tc>
          <w:tcPr>
            <w:tcW w:w="918" w:type="dxa"/>
          </w:tcPr>
          <w:p w:rsidR="009520A9" w:rsidRDefault="00770482">
            <w:pPr>
              <w:jc w:val="center"/>
            </w:pPr>
            <w:r>
              <w:t>45</w:t>
            </w:r>
          </w:p>
        </w:tc>
        <w:tc>
          <w:tcPr>
            <w:tcW w:w="918" w:type="dxa"/>
          </w:tcPr>
          <w:p w:rsidR="009520A9" w:rsidRDefault="00770482">
            <w:pPr>
              <w:jc w:val="center"/>
            </w:pPr>
            <w:r>
              <w:t>55</w:t>
            </w:r>
          </w:p>
        </w:tc>
        <w:tc>
          <w:tcPr>
            <w:tcW w:w="918" w:type="dxa"/>
          </w:tcPr>
          <w:p w:rsidR="009520A9" w:rsidRDefault="00770482">
            <w:pPr>
              <w:jc w:val="center"/>
            </w:pPr>
            <w:r>
              <w:t>65</w:t>
            </w:r>
          </w:p>
        </w:tc>
      </w:tr>
    </w:tbl>
    <w:p w:rsidR="009520A9" w:rsidRDefault="009520A9">
      <w:pPr>
        <w:jc w:val="left"/>
      </w:pPr>
    </w:p>
    <w:p w:rsidR="009520A9" w:rsidRDefault="00770482">
      <w:pPr>
        <w:pStyle w:val="Heading2"/>
      </w:pPr>
      <w:r>
        <w:t>46173 Agencija za strukovno obrazovanje i obrazovanje odraslih</w:t>
      </w:r>
    </w:p>
    <w:p w:rsidR="009520A9" w:rsidRDefault="00770482">
      <w:r>
        <w:t>Agencija za strukovn</w:t>
      </w:r>
      <w:r>
        <w:t>o obrazovanje i obrazovanje odraslih osnovana je Zakonom o Agenciji za strukovno obrazovanje i obrazovanje odraslih 2010. godine. Djelatnost Agencije su poslovi planiranja, razvijanja, organiziranja, provedbe, praćenja i unaprjeđivanja sustava strukovnog o</w:t>
      </w:r>
      <w:r>
        <w:t>brazovanja i obrazovanja odraslih. U okviru tih djelatnosti provodi se cijeli niz različitih aktivnosti kao što su: vođenje postupka priznavanja inozemnih školskih kvalifikacija, stručna i andragoška procjena programa obrazovanja odraslih, provedba stručni</w:t>
      </w:r>
      <w:r>
        <w:t>h ispita i napredovanje nastavnika, stručno -pedagoški nadzor u strukovnim školama, nadzor nad stručnim radom ustanova za obrazovanje odraslih, obavljanje poslova Posredničkoga tijela razine 2 (PT2) za Operativni program „Učinkoviti ljudski potencijali“ 20</w:t>
      </w:r>
      <w:r>
        <w:t>14. - 2020., i Program „Učinkoviti ljudski potencijali“ 2021. – 2027., provedba postupka odobravanja drugih obrazovnih materijala i vođenje kataloga odobrenih drugih obrazovnih materijala, stručna usavršavanja što ih Agencija organizira za zaposlene u sust</w:t>
      </w:r>
      <w:r>
        <w:t>avu strukovnog obrazovanja i obrazovanja odraslih, projektiranje, priprema i provedba međunarodnih projekata, promocija cjeloživotnog učenja te podizanje privlačnosti strukovnog obrazovanja.</w:t>
      </w:r>
    </w:p>
    <w:tbl>
      <w:tblPr>
        <w:tblStyle w:val="StilTablice"/>
        <w:tblW w:w="10206" w:type="dxa"/>
        <w:jc w:val="center"/>
        <w:tblLook w:val="04A0" w:firstRow="1" w:lastRow="0" w:firstColumn="1" w:lastColumn="0" w:noHBand="0" w:noVBand="1"/>
      </w:tblPr>
      <w:tblGrid>
        <w:gridCol w:w="1428"/>
        <w:gridCol w:w="1552"/>
        <w:gridCol w:w="1564"/>
        <w:gridCol w:w="1564"/>
        <w:gridCol w:w="1564"/>
        <w:gridCol w:w="1564"/>
        <w:gridCol w:w="970"/>
      </w:tblGrid>
      <w:tr w:rsidR="009520A9">
        <w:trPr>
          <w:jc w:val="center"/>
        </w:trPr>
        <w:tc>
          <w:tcPr>
            <w:tcW w:w="1530" w:type="dxa"/>
            <w:shd w:val="clear" w:color="auto" w:fill="B5C0D8"/>
          </w:tcPr>
          <w:p w:rsidR="009520A9" w:rsidRDefault="009520A9">
            <w:pPr>
              <w:pStyle w:val="CellHeader"/>
              <w:jc w:val="center"/>
            </w:pP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tcPr>
          <w:p w:rsidR="009520A9" w:rsidRDefault="00770482">
            <w:pPr>
              <w:pStyle w:val="CellColumn"/>
              <w:jc w:val="left"/>
            </w:pPr>
            <w:r>
              <w:rPr>
                <w:rFonts w:cs="Times New Roman"/>
              </w:rPr>
              <w:t>46173</w:t>
            </w:r>
          </w:p>
        </w:tc>
        <w:tc>
          <w:tcPr>
            <w:tcW w:w="1632" w:type="dxa"/>
          </w:tcPr>
          <w:p w:rsidR="009520A9" w:rsidRDefault="00770482">
            <w:pPr>
              <w:jc w:val="right"/>
            </w:pPr>
            <w:r>
              <w:t>7.873.682</w:t>
            </w:r>
          </w:p>
        </w:tc>
        <w:tc>
          <w:tcPr>
            <w:tcW w:w="1632" w:type="dxa"/>
          </w:tcPr>
          <w:p w:rsidR="009520A9" w:rsidRDefault="00770482">
            <w:pPr>
              <w:jc w:val="right"/>
            </w:pPr>
            <w:r>
              <w:t>17.255.169</w:t>
            </w:r>
          </w:p>
        </w:tc>
        <w:tc>
          <w:tcPr>
            <w:tcW w:w="1632" w:type="dxa"/>
          </w:tcPr>
          <w:p w:rsidR="009520A9" w:rsidRDefault="00770482">
            <w:pPr>
              <w:jc w:val="right"/>
            </w:pPr>
            <w:r>
              <w:t>13.616.371</w:t>
            </w:r>
          </w:p>
        </w:tc>
        <w:tc>
          <w:tcPr>
            <w:tcW w:w="1632" w:type="dxa"/>
          </w:tcPr>
          <w:p w:rsidR="009520A9" w:rsidRDefault="00770482">
            <w:pPr>
              <w:jc w:val="right"/>
            </w:pPr>
            <w:r>
              <w:t>13.889.912</w:t>
            </w:r>
          </w:p>
        </w:tc>
        <w:tc>
          <w:tcPr>
            <w:tcW w:w="1632" w:type="dxa"/>
          </w:tcPr>
          <w:p w:rsidR="009520A9" w:rsidRDefault="00770482">
            <w:pPr>
              <w:jc w:val="right"/>
            </w:pPr>
            <w:r>
              <w:t>13.301.292</w:t>
            </w:r>
          </w:p>
        </w:tc>
        <w:tc>
          <w:tcPr>
            <w:tcW w:w="510" w:type="dxa"/>
          </w:tcPr>
          <w:p w:rsidR="009520A9" w:rsidRDefault="00770482">
            <w:pPr>
              <w:jc w:val="right"/>
            </w:pPr>
            <w:r>
              <w:t>78,9</w:t>
            </w:r>
          </w:p>
        </w:tc>
      </w:tr>
    </w:tbl>
    <w:p w:rsidR="009520A9" w:rsidRDefault="009520A9">
      <w:pPr>
        <w:jc w:val="left"/>
      </w:pPr>
    </w:p>
    <w:p w:rsidR="009520A9" w:rsidRDefault="00770482">
      <w:pPr>
        <w:pStyle w:val="Heading3"/>
      </w:pPr>
      <w:r>
        <w:rPr>
          <w:rFonts w:cs="Times New Roman"/>
        </w:rPr>
        <w:t>3701 RAZVOJ ODGOJNO OBRAZOVNOG SUSTAVA</w:t>
      </w:r>
    </w:p>
    <w:tbl>
      <w:tblPr>
        <w:tblStyle w:val="StilTablice"/>
        <w:tblW w:w="10206" w:type="dxa"/>
        <w:jc w:val="center"/>
        <w:tblLook w:val="04A0" w:firstRow="1" w:lastRow="0" w:firstColumn="1" w:lastColumn="0" w:noHBand="0" w:noVBand="1"/>
      </w:tblPr>
      <w:tblGrid>
        <w:gridCol w:w="1421"/>
        <w:gridCol w:w="1555"/>
        <w:gridCol w:w="1565"/>
        <w:gridCol w:w="1565"/>
        <w:gridCol w:w="1565"/>
        <w:gridCol w:w="1565"/>
        <w:gridCol w:w="970"/>
      </w:tblGrid>
      <w:tr w:rsidR="009520A9">
        <w:trPr>
          <w:jc w:val="center"/>
        </w:trPr>
        <w:tc>
          <w:tcPr>
            <w:tcW w:w="1530" w:type="dxa"/>
            <w:shd w:val="clear" w:color="auto" w:fill="B5C0D8"/>
          </w:tcPr>
          <w:p w:rsidR="009520A9" w:rsidRDefault="009520A9">
            <w:pPr>
              <w:pStyle w:val="CellHeader"/>
            </w:pPr>
          </w:p>
        </w:tc>
        <w:tc>
          <w:tcPr>
            <w:tcW w:w="1632" w:type="dxa"/>
            <w:shd w:val="clear" w:color="auto" w:fill="B5C0D8"/>
          </w:tcPr>
          <w:p w:rsidR="009520A9" w:rsidRDefault="00770482">
            <w:pPr>
              <w:pStyle w:val="CellHeader"/>
            </w:pPr>
            <w:r>
              <w:rPr>
                <w:rFonts w:cs="Times New Roman"/>
              </w:rPr>
              <w:t>Izvršenje 2022.</w:t>
            </w:r>
          </w:p>
        </w:tc>
        <w:tc>
          <w:tcPr>
            <w:tcW w:w="1632" w:type="dxa"/>
            <w:shd w:val="clear" w:color="auto" w:fill="B5C0D8"/>
          </w:tcPr>
          <w:p w:rsidR="009520A9" w:rsidRDefault="00770482">
            <w:pPr>
              <w:pStyle w:val="CellHeader"/>
            </w:pPr>
            <w:r>
              <w:rPr>
                <w:rFonts w:cs="Times New Roman"/>
              </w:rPr>
              <w:t>Plan 2023.</w:t>
            </w:r>
          </w:p>
        </w:tc>
        <w:tc>
          <w:tcPr>
            <w:tcW w:w="1632" w:type="dxa"/>
            <w:shd w:val="clear" w:color="auto" w:fill="B5C0D8"/>
          </w:tcPr>
          <w:p w:rsidR="009520A9" w:rsidRDefault="00770482">
            <w:pPr>
              <w:pStyle w:val="CellHeader"/>
            </w:pPr>
            <w:r>
              <w:rPr>
                <w:rFonts w:cs="Times New Roman"/>
              </w:rPr>
              <w:t>Plan 2024.</w:t>
            </w:r>
          </w:p>
        </w:tc>
        <w:tc>
          <w:tcPr>
            <w:tcW w:w="1632" w:type="dxa"/>
            <w:shd w:val="clear" w:color="auto" w:fill="B5C0D8"/>
          </w:tcPr>
          <w:p w:rsidR="009520A9" w:rsidRDefault="00770482">
            <w:pPr>
              <w:pStyle w:val="CellHeader"/>
            </w:pPr>
            <w:r>
              <w:rPr>
                <w:rFonts w:cs="Times New Roman"/>
              </w:rPr>
              <w:t>Plan 2025.</w:t>
            </w:r>
          </w:p>
        </w:tc>
        <w:tc>
          <w:tcPr>
            <w:tcW w:w="1632" w:type="dxa"/>
            <w:shd w:val="clear" w:color="auto" w:fill="B5C0D8"/>
          </w:tcPr>
          <w:p w:rsidR="009520A9" w:rsidRDefault="00770482">
            <w:pPr>
              <w:pStyle w:val="CellHead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3701</w:t>
            </w:r>
          </w:p>
        </w:tc>
        <w:tc>
          <w:tcPr>
            <w:tcW w:w="1632" w:type="dxa"/>
            <w:vAlign w:val="top"/>
          </w:tcPr>
          <w:p w:rsidR="009520A9" w:rsidRDefault="00770482">
            <w:pPr>
              <w:jc w:val="right"/>
            </w:pPr>
            <w:r>
              <w:t>7.873.682</w:t>
            </w:r>
          </w:p>
        </w:tc>
        <w:tc>
          <w:tcPr>
            <w:tcW w:w="1632" w:type="dxa"/>
            <w:vAlign w:val="top"/>
          </w:tcPr>
          <w:p w:rsidR="009520A9" w:rsidRDefault="00770482">
            <w:pPr>
              <w:jc w:val="right"/>
            </w:pPr>
            <w:r>
              <w:t>17.255.169</w:t>
            </w:r>
          </w:p>
        </w:tc>
        <w:tc>
          <w:tcPr>
            <w:tcW w:w="1632" w:type="dxa"/>
            <w:vAlign w:val="top"/>
          </w:tcPr>
          <w:p w:rsidR="009520A9" w:rsidRDefault="00770482">
            <w:pPr>
              <w:jc w:val="right"/>
            </w:pPr>
            <w:r>
              <w:t>13.616.371</w:t>
            </w:r>
          </w:p>
        </w:tc>
        <w:tc>
          <w:tcPr>
            <w:tcW w:w="1632" w:type="dxa"/>
            <w:vAlign w:val="top"/>
          </w:tcPr>
          <w:p w:rsidR="009520A9" w:rsidRDefault="00770482">
            <w:pPr>
              <w:jc w:val="right"/>
            </w:pPr>
            <w:r>
              <w:t>13.889.912</w:t>
            </w:r>
          </w:p>
        </w:tc>
        <w:tc>
          <w:tcPr>
            <w:tcW w:w="1632" w:type="dxa"/>
            <w:vAlign w:val="top"/>
          </w:tcPr>
          <w:p w:rsidR="009520A9" w:rsidRDefault="00770482">
            <w:pPr>
              <w:jc w:val="right"/>
            </w:pPr>
            <w:r>
              <w:t>13.301.292</w:t>
            </w:r>
          </w:p>
        </w:tc>
        <w:tc>
          <w:tcPr>
            <w:tcW w:w="510" w:type="dxa"/>
            <w:vAlign w:val="top"/>
          </w:tcPr>
          <w:p w:rsidR="009520A9" w:rsidRDefault="00770482">
            <w:pPr>
              <w:jc w:val="right"/>
            </w:pPr>
            <w:r>
              <w:t>78,9</w:t>
            </w:r>
          </w:p>
        </w:tc>
      </w:tr>
    </w:tbl>
    <w:p w:rsidR="009520A9" w:rsidRDefault="009520A9">
      <w:pPr>
        <w:jc w:val="left"/>
      </w:pPr>
    </w:p>
    <w:p w:rsidR="009520A9" w:rsidRDefault="00770482">
      <w:pPr>
        <w:pStyle w:val="Heading8"/>
        <w:jc w:val="left"/>
      </w:pPr>
      <w:r>
        <w:t>Cilj 1. Povećati postotak građana uključenih u programe cjeloživotnog učenja</w:t>
      </w:r>
    </w:p>
    <w:p w:rsidR="009520A9" w:rsidRDefault="00770482">
      <w:pPr>
        <w:pStyle w:val="Heading8"/>
        <w:jc w:val="left"/>
      </w:pPr>
      <w:r>
        <w:t>Cilj 2. Povećati kvalitetu i relevantnost strukovnog obrazovanja i osposobljavanja</w:t>
      </w:r>
    </w:p>
    <w:p w:rsidR="009520A9" w:rsidRDefault="00770482">
      <w:pPr>
        <w:pStyle w:val="Heading8"/>
        <w:jc w:val="left"/>
      </w:pPr>
      <w:r>
        <w:t>Pokazatelji učinka</w:t>
      </w:r>
    </w:p>
    <w:tbl>
      <w:tblPr>
        <w:tblStyle w:val="StilTablice"/>
        <w:tblW w:w="10206" w:type="dxa"/>
        <w:jc w:val="center"/>
        <w:tblLook w:val="04A0" w:firstRow="1" w:lastRow="0" w:firstColumn="1" w:lastColumn="0" w:noHBand="0" w:noVBand="1"/>
      </w:tblPr>
      <w:tblGrid>
        <w:gridCol w:w="2224"/>
        <w:gridCol w:w="2236"/>
        <w:gridCol w:w="915"/>
        <w:gridCol w:w="918"/>
        <w:gridCol w:w="1159"/>
        <w:gridCol w:w="918"/>
        <w:gridCol w:w="918"/>
        <w:gridCol w:w="918"/>
      </w:tblGrid>
      <w:tr w:rsidR="009520A9">
        <w:trPr>
          <w:jc w:val="center"/>
        </w:trPr>
        <w:tc>
          <w:tcPr>
            <w:tcW w:w="2245" w:type="dxa"/>
            <w:shd w:val="clear" w:color="auto" w:fill="B5C0D8"/>
          </w:tcPr>
          <w:p w:rsidR="009520A9" w:rsidRDefault="00770482">
            <w:pPr>
              <w:jc w:val="center"/>
            </w:pPr>
            <w:r>
              <w:t>Pokazatelj učinka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Povećan postotak osoba uključen u neki oblik cjeloživotnog učenja</w:t>
            </w:r>
          </w:p>
        </w:tc>
        <w:tc>
          <w:tcPr>
            <w:tcW w:w="2245" w:type="dxa"/>
            <w:vAlign w:val="top"/>
          </w:tcPr>
          <w:p w:rsidR="009520A9" w:rsidRDefault="00770482">
            <w:pPr>
              <w:pStyle w:val="CellColumn"/>
              <w:jc w:val="left"/>
            </w:pPr>
            <w:r>
              <w:rPr>
                <w:rFonts w:cs="Times New Roman"/>
              </w:rPr>
              <w:t>Kontinuiranom promocijom učenja povećava se mogućnost utjecaja na svijest  svakog pojedinca t</w:t>
            </w:r>
            <w:r>
              <w:rPr>
                <w:rFonts w:cs="Times New Roman"/>
              </w:rPr>
              <w:t>e time i njegovo sudjelovanje u nekom obliku učenja.</w:t>
            </w:r>
          </w:p>
        </w:tc>
        <w:tc>
          <w:tcPr>
            <w:tcW w:w="918" w:type="dxa"/>
          </w:tcPr>
          <w:p w:rsidR="009520A9" w:rsidRDefault="00770482">
            <w:pPr>
              <w:jc w:val="center"/>
            </w:pPr>
            <w:r>
              <w:t>%</w:t>
            </w:r>
          </w:p>
        </w:tc>
        <w:tc>
          <w:tcPr>
            <w:tcW w:w="918" w:type="dxa"/>
          </w:tcPr>
          <w:p w:rsidR="009520A9" w:rsidRDefault="00770482">
            <w:pPr>
              <w:jc w:val="center"/>
            </w:pPr>
            <w:r>
              <w:t>5,1</w:t>
            </w:r>
          </w:p>
        </w:tc>
        <w:tc>
          <w:tcPr>
            <w:tcW w:w="918" w:type="dxa"/>
          </w:tcPr>
          <w:p w:rsidR="009520A9" w:rsidRDefault="00770482">
            <w:pPr>
              <w:pStyle w:val="CellColumn"/>
              <w:jc w:val="center"/>
            </w:pPr>
            <w:r>
              <w:rPr>
                <w:rFonts w:cs="Times New Roman"/>
              </w:rPr>
              <w:t>EUROSTAT i Državni zavod za statistiku</w:t>
            </w:r>
          </w:p>
        </w:tc>
        <w:tc>
          <w:tcPr>
            <w:tcW w:w="918" w:type="dxa"/>
          </w:tcPr>
          <w:p w:rsidR="009520A9" w:rsidRDefault="00770482">
            <w:pPr>
              <w:jc w:val="center"/>
            </w:pPr>
            <w:r>
              <w:t>5,2</w:t>
            </w:r>
          </w:p>
        </w:tc>
        <w:tc>
          <w:tcPr>
            <w:tcW w:w="918" w:type="dxa"/>
          </w:tcPr>
          <w:p w:rsidR="009520A9" w:rsidRDefault="00770482">
            <w:pPr>
              <w:jc w:val="center"/>
            </w:pPr>
            <w:r>
              <w:t>5,6</w:t>
            </w:r>
          </w:p>
        </w:tc>
        <w:tc>
          <w:tcPr>
            <w:tcW w:w="918" w:type="dxa"/>
          </w:tcPr>
          <w:p w:rsidR="009520A9" w:rsidRDefault="00770482">
            <w:pPr>
              <w:jc w:val="center"/>
            </w:pPr>
            <w:r>
              <w:t>6,1</w:t>
            </w:r>
          </w:p>
        </w:tc>
      </w:tr>
      <w:tr w:rsidR="009520A9">
        <w:trPr>
          <w:jc w:val="center"/>
        </w:trPr>
        <w:tc>
          <w:tcPr>
            <w:tcW w:w="2245" w:type="dxa"/>
            <w:vAlign w:val="top"/>
          </w:tcPr>
          <w:p w:rsidR="009520A9" w:rsidRDefault="00770482">
            <w:pPr>
              <w:pStyle w:val="CellColumn"/>
              <w:jc w:val="left"/>
            </w:pPr>
            <w:r>
              <w:rPr>
                <w:rFonts w:cs="Times New Roman"/>
              </w:rPr>
              <w:t>Broj strukovnih škola koje provode nove strukovne kurikulume</w:t>
            </w:r>
          </w:p>
        </w:tc>
        <w:tc>
          <w:tcPr>
            <w:tcW w:w="2245" w:type="dxa"/>
            <w:vAlign w:val="top"/>
          </w:tcPr>
          <w:p w:rsidR="009520A9" w:rsidRDefault="00770482">
            <w:pPr>
              <w:pStyle w:val="CellColumn"/>
              <w:jc w:val="left"/>
            </w:pPr>
            <w:r>
              <w:rPr>
                <w:rFonts w:cs="Times New Roman"/>
              </w:rPr>
              <w:t>Povećati broj strukovnih škola koje provode modularne/sektorske kurikulume za stjecanje strukovnih kvalifikacija u redovnom sustavu obrazovanja s posebnim naglaskom na učenju temeljenom na radu.</w:t>
            </w:r>
          </w:p>
        </w:tc>
        <w:tc>
          <w:tcPr>
            <w:tcW w:w="918" w:type="dxa"/>
          </w:tcPr>
          <w:p w:rsidR="009520A9" w:rsidRDefault="00770482">
            <w:pPr>
              <w:jc w:val="center"/>
            </w:pPr>
            <w:r>
              <w:t>Broj</w:t>
            </w:r>
          </w:p>
        </w:tc>
        <w:tc>
          <w:tcPr>
            <w:tcW w:w="918" w:type="dxa"/>
          </w:tcPr>
          <w:p w:rsidR="009520A9" w:rsidRDefault="00770482">
            <w:pPr>
              <w:jc w:val="center"/>
            </w:pPr>
            <w:r>
              <w:t>10</w:t>
            </w:r>
          </w:p>
        </w:tc>
        <w:tc>
          <w:tcPr>
            <w:tcW w:w="918" w:type="dxa"/>
          </w:tcPr>
          <w:p w:rsidR="009520A9" w:rsidRDefault="00770482">
            <w:pPr>
              <w:pStyle w:val="CellColumn"/>
              <w:jc w:val="center"/>
            </w:pPr>
            <w:r>
              <w:rPr>
                <w:rFonts w:cs="Times New Roman"/>
              </w:rPr>
              <w:t>Izvješća ASOO MZO</w:t>
            </w:r>
          </w:p>
        </w:tc>
        <w:tc>
          <w:tcPr>
            <w:tcW w:w="918" w:type="dxa"/>
          </w:tcPr>
          <w:p w:rsidR="009520A9" w:rsidRDefault="00770482">
            <w:pPr>
              <w:jc w:val="center"/>
            </w:pPr>
            <w:r>
              <w:t>9</w:t>
            </w:r>
          </w:p>
        </w:tc>
        <w:tc>
          <w:tcPr>
            <w:tcW w:w="918" w:type="dxa"/>
          </w:tcPr>
          <w:p w:rsidR="009520A9" w:rsidRDefault="00770482">
            <w:pPr>
              <w:jc w:val="center"/>
            </w:pPr>
            <w:r>
              <w:t>300</w:t>
            </w:r>
          </w:p>
        </w:tc>
        <w:tc>
          <w:tcPr>
            <w:tcW w:w="918" w:type="dxa"/>
          </w:tcPr>
          <w:p w:rsidR="009520A9" w:rsidRDefault="00770482">
            <w:pPr>
              <w:jc w:val="center"/>
            </w:pPr>
            <w:r>
              <w:t>300</w:t>
            </w:r>
          </w:p>
        </w:tc>
      </w:tr>
    </w:tbl>
    <w:p w:rsidR="009520A9" w:rsidRDefault="009520A9">
      <w:pPr>
        <w:jc w:val="left"/>
      </w:pPr>
    </w:p>
    <w:p w:rsidR="009520A9" w:rsidRDefault="00770482">
      <w:pPr>
        <w:pStyle w:val="Heading4"/>
      </w:pPr>
      <w:r>
        <w:t>A848001 ADMINISTRACIJA I UPRAVLJANJE AGENCIJE ZA STRUKOVNO OBRAZOVANJE I  OBRAZOVANJE ODRASLIH</w:t>
      </w:r>
    </w:p>
    <w:p w:rsidR="009520A9" w:rsidRDefault="00770482">
      <w:pPr>
        <w:pStyle w:val="Heading8"/>
        <w:jc w:val="left"/>
      </w:pPr>
      <w:r>
        <w:t>Zakonske i druge pravne osnove</w:t>
      </w:r>
    </w:p>
    <w:p w:rsidR="009520A9" w:rsidRDefault="00770482">
      <w:r>
        <w:t>Zakon o Agenciji za strukovno obrazovanje i obrazovanje odraslih</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A848001</w:t>
            </w:r>
          </w:p>
        </w:tc>
        <w:tc>
          <w:tcPr>
            <w:tcW w:w="1632" w:type="dxa"/>
            <w:vAlign w:val="top"/>
          </w:tcPr>
          <w:p w:rsidR="009520A9" w:rsidRDefault="00770482">
            <w:pPr>
              <w:jc w:val="right"/>
            </w:pPr>
            <w:r>
              <w:t>1.951.272</w:t>
            </w:r>
          </w:p>
        </w:tc>
        <w:tc>
          <w:tcPr>
            <w:tcW w:w="1632" w:type="dxa"/>
            <w:vAlign w:val="top"/>
          </w:tcPr>
          <w:p w:rsidR="009520A9" w:rsidRDefault="00770482">
            <w:pPr>
              <w:jc w:val="right"/>
            </w:pPr>
            <w:r>
              <w:t>2.477.846</w:t>
            </w:r>
          </w:p>
        </w:tc>
        <w:tc>
          <w:tcPr>
            <w:tcW w:w="1632" w:type="dxa"/>
            <w:vAlign w:val="top"/>
          </w:tcPr>
          <w:p w:rsidR="009520A9" w:rsidRDefault="00770482">
            <w:pPr>
              <w:jc w:val="right"/>
            </w:pPr>
            <w:r>
              <w:t>2.764.779</w:t>
            </w:r>
          </w:p>
        </w:tc>
        <w:tc>
          <w:tcPr>
            <w:tcW w:w="1632" w:type="dxa"/>
            <w:vAlign w:val="top"/>
          </w:tcPr>
          <w:p w:rsidR="009520A9" w:rsidRDefault="00770482">
            <w:pPr>
              <w:jc w:val="right"/>
            </w:pPr>
            <w:r>
              <w:t>2.739.737</w:t>
            </w:r>
          </w:p>
        </w:tc>
        <w:tc>
          <w:tcPr>
            <w:tcW w:w="1632" w:type="dxa"/>
            <w:vAlign w:val="top"/>
          </w:tcPr>
          <w:p w:rsidR="009520A9" w:rsidRDefault="00770482">
            <w:pPr>
              <w:jc w:val="right"/>
            </w:pPr>
            <w:r>
              <w:t>2.739.792</w:t>
            </w:r>
          </w:p>
        </w:tc>
        <w:tc>
          <w:tcPr>
            <w:tcW w:w="510" w:type="dxa"/>
            <w:vAlign w:val="top"/>
          </w:tcPr>
          <w:p w:rsidR="009520A9" w:rsidRDefault="00770482">
            <w:pPr>
              <w:jc w:val="right"/>
            </w:pPr>
            <w:r>
              <w:t>111,6</w:t>
            </w:r>
          </w:p>
        </w:tc>
      </w:tr>
    </w:tbl>
    <w:p w:rsidR="009520A9" w:rsidRDefault="009520A9">
      <w:pPr>
        <w:jc w:val="left"/>
      </w:pPr>
    </w:p>
    <w:p w:rsidR="009520A9" w:rsidRDefault="00770482">
      <w:r>
        <w:t xml:space="preserve">Unutar ove aktivnosti financiraju se rashodi za zaposlene i materijalni rashodi za redovno poslovanje. Najveća stavka plana za 2024. godinu odnosi se na rashode za zaposlene i to na plaće i pripadajuće doprinose,  troškove prijevoza zaposlenika, komunalne </w:t>
      </w:r>
      <w:r>
        <w:t>usluge, usluge najma i energije. usluge tekućeg i investicijskog održavanja, računalne usluge, nabavu uredskog materijala te intelektualne usluge pema postojećem planu i dinamici redovitih aktivnosti</w:t>
      </w:r>
    </w:p>
    <w:p w:rsidR="009520A9" w:rsidRDefault="00770482">
      <w:pPr>
        <w:pStyle w:val="Heading4"/>
      </w:pPr>
      <w:r>
        <w:t xml:space="preserve">A848009 PROMICANJE KULTURE UČENJA: TJEDAN CJELOŽIVOTNOG </w:t>
      </w:r>
      <w:r>
        <w:t>UČENJA</w:t>
      </w:r>
    </w:p>
    <w:p w:rsidR="009520A9" w:rsidRDefault="00770482">
      <w:pPr>
        <w:pStyle w:val="Heading8"/>
        <w:jc w:val="left"/>
      </w:pPr>
      <w:r>
        <w:t>Zakonske i druge pravne osnove</w:t>
      </w:r>
    </w:p>
    <w:p w:rsidR="009520A9" w:rsidRDefault="00770482">
      <w:r>
        <w:t>Članak 4, stavak 2 Zakona o Agenciji za strukovno obrazovanje i obrazovanje odraslih ; Strategija obrazovanja, znanosti i tehnologije</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 xml:space="preserve">Indeks </w:t>
            </w:r>
            <w:r>
              <w:rPr>
                <w:rFonts w:cs="Times New Roman"/>
              </w:rPr>
              <w:t>2024/2023</w:t>
            </w:r>
          </w:p>
        </w:tc>
      </w:tr>
      <w:tr w:rsidR="009520A9">
        <w:trPr>
          <w:jc w:val="center"/>
        </w:trPr>
        <w:tc>
          <w:tcPr>
            <w:tcW w:w="1530" w:type="dxa"/>
            <w:vAlign w:val="top"/>
          </w:tcPr>
          <w:p w:rsidR="009520A9" w:rsidRDefault="00770482">
            <w:pPr>
              <w:pStyle w:val="CellColumn"/>
              <w:jc w:val="left"/>
            </w:pPr>
            <w:r>
              <w:rPr>
                <w:rFonts w:cs="Times New Roman"/>
              </w:rPr>
              <w:t>A848009</w:t>
            </w:r>
          </w:p>
        </w:tc>
        <w:tc>
          <w:tcPr>
            <w:tcW w:w="1632" w:type="dxa"/>
            <w:vAlign w:val="top"/>
          </w:tcPr>
          <w:p w:rsidR="009520A9" w:rsidRDefault="00770482">
            <w:pPr>
              <w:jc w:val="right"/>
            </w:pPr>
            <w:r>
              <w:t>2.897</w:t>
            </w:r>
          </w:p>
        </w:tc>
        <w:tc>
          <w:tcPr>
            <w:tcW w:w="1632" w:type="dxa"/>
            <w:vAlign w:val="top"/>
          </w:tcPr>
          <w:p w:rsidR="009520A9" w:rsidRDefault="00770482">
            <w:pPr>
              <w:jc w:val="right"/>
            </w:pPr>
            <w:r>
              <w:t>5.991</w:t>
            </w:r>
          </w:p>
        </w:tc>
        <w:tc>
          <w:tcPr>
            <w:tcW w:w="1632" w:type="dxa"/>
            <w:vAlign w:val="top"/>
          </w:tcPr>
          <w:p w:rsidR="009520A9" w:rsidRDefault="00770482">
            <w:pPr>
              <w:jc w:val="right"/>
            </w:pPr>
            <w:r>
              <w:t>9.125</w:t>
            </w:r>
          </w:p>
        </w:tc>
        <w:tc>
          <w:tcPr>
            <w:tcW w:w="1632" w:type="dxa"/>
            <w:vAlign w:val="top"/>
          </w:tcPr>
          <w:p w:rsidR="009520A9" w:rsidRDefault="00770482">
            <w:pPr>
              <w:jc w:val="right"/>
            </w:pPr>
            <w:r>
              <w:t>9.125</w:t>
            </w:r>
          </w:p>
        </w:tc>
        <w:tc>
          <w:tcPr>
            <w:tcW w:w="1632" w:type="dxa"/>
            <w:vAlign w:val="top"/>
          </w:tcPr>
          <w:p w:rsidR="009520A9" w:rsidRDefault="00770482">
            <w:pPr>
              <w:jc w:val="right"/>
            </w:pPr>
            <w:r>
              <w:t>9.125</w:t>
            </w:r>
          </w:p>
        </w:tc>
        <w:tc>
          <w:tcPr>
            <w:tcW w:w="510" w:type="dxa"/>
            <w:vAlign w:val="top"/>
          </w:tcPr>
          <w:p w:rsidR="009520A9" w:rsidRDefault="00770482">
            <w:pPr>
              <w:jc w:val="right"/>
            </w:pPr>
            <w:r>
              <w:t>152,3</w:t>
            </w:r>
          </w:p>
        </w:tc>
      </w:tr>
    </w:tbl>
    <w:p w:rsidR="009520A9" w:rsidRDefault="009520A9">
      <w:pPr>
        <w:jc w:val="left"/>
      </w:pPr>
    </w:p>
    <w:p w:rsidR="009520A9" w:rsidRDefault="00770482">
      <w:r>
        <w:t>Iznos planiran na ovoj aktivnosti utrošit će se na aktivnosti kojima će se promovirati važnost kulture učenja. Unutar predstavljenog plana za 2024. godinu planirana su sredstva za putne troškove, troškove angažmana vanjskih suradnika dok se preostali iznos</w:t>
      </w:r>
      <w:r>
        <w:t xml:space="preserve"> odnosi  na  troškove najma i zakupnine. Planirana su sredstva i za naknade troškova osobama izvan radnog odnosa, troškove usluge promidžbe i informiranja te troškove pripreme, dizajna, izrade i tiska komunikacijskih materijala koji se odnose na promociju </w:t>
      </w:r>
      <w:r>
        <w:t>cjeloživotnog učenja.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izrađenih promotivno- komunikacijskih materijala</w:t>
            </w:r>
          </w:p>
        </w:tc>
        <w:tc>
          <w:tcPr>
            <w:tcW w:w="2245" w:type="dxa"/>
            <w:vAlign w:val="top"/>
          </w:tcPr>
          <w:p w:rsidR="009520A9" w:rsidRDefault="00770482">
            <w:pPr>
              <w:pStyle w:val="CellColumn"/>
              <w:jc w:val="left"/>
            </w:pPr>
            <w:r>
              <w:rPr>
                <w:rFonts w:cs="Times New Roman"/>
              </w:rPr>
              <w:t>Izradit će se publikacija/promotivna brošura/video uradak koji tematski pokriva cjeloživotno učenje (trošak izrade stručnog sadržaja, grafičke pripreme i tiska/produkcija)</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bl>
    <w:p w:rsidR="009520A9" w:rsidRDefault="009520A9">
      <w:pPr>
        <w:jc w:val="left"/>
      </w:pPr>
    </w:p>
    <w:p w:rsidR="009520A9" w:rsidRDefault="00770482">
      <w:pPr>
        <w:pStyle w:val="Heading4"/>
      </w:pPr>
      <w:r>
        <w:t>A848010 STRUČNO SAVJETODAVNA DJELATNOST</w:t>
      </w:r>
    </w:p>
    <w:p w:rsidR="009520A9" w:rsidRDefault="00770482">
      <w:pPr>
        <w:pStyle w:val="Heading8"/>
        <w:jc w:val="left"/>
      </w:pPr>
      <w:r>
        <w:t>Zakonske i druge pravne osnove</w:t>
      </w:r>
    </w:p>
    <w:p w:rsidR="009520A9" w:rsidRDefault="00770482">
      <w:r>
        <w:t>Članak 4, stavak 2 Zakona o Agenciji za strukovno obrazovanje i obrazovanje odraslih</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A848010</w:t>
            </w:r>
          </w:p>
        </w:tc>
        <w:tc>
          <w:tcPr>
            <w:tcW w:w="1632" w:type="dxa"/>
            <w:vAlign w:val="top"/>
          </w:tcPr>
          <w:p w:rsidR="009520A9" w:rsidRDefault="00770482">
            <w:pPr>
              <w:jc w:val="right"/>
            </w:pPr>
            <w:r>
              <w:t>7.870</w:t>
            </w:r>
          </w:p>
        </w:tc>
        <w:tc>
          <w:tcPr>
            <w:tcW w:w="1632" w:type="dxa"/>
            <w:vAlign w:val="top"/>
          </w:tcPr>
          <w:p w:rsidR="009520A9" w:rsidRDefault="00770482">
            <w:pPr>
              <w:jc w:val="right"/>
            </w:pPr>
            <w:r>
              <w:t>13.365</w:t>
            </w:r>
          </w:p>
        </w:tc>
        <w:tc>
          <w:tcPr>
            <w:tcW w:w="1632" w:type="dxa"/>
            <w:vAlign w:val="top"/>
          </w:tcPr>
          <w:p w:rsidR="009520A9" w:rsidRDefault="00770482">
            <w:pPr>
              <w:jc w:val="right"/>
            </w:pPr>
            <w:r>
              <w:t>13.365</w:t>
            </w:r>
          </w:p>
        </w:tc>
        <w:tc>
          <w:tcPr>
            <w:tcW w:w="1632" w:type="dxa"/>
            <w:vAlign w:val="top"/>
          </w:tcPr>
          <w:p w:rsidR="009520A9" w:rsidRDefault="00770482">
            <w:pPr>
              <w:jc w:val="right"/>
            </w:pPr>
            <w:r>
              <w:t>13.365</w:t>
            </w:r>
          </w:p>
        </w:tc>
        <w:tc>
          <w:tcPr>
            <w:tcW w:w="1632" w:type="dxa"/>
            <w:vAlign w:val="top"/>
          </w:tcPr>
          <w:p w:rsidR="009520A9" w:rsidRDefault="00770482">
            <w:pPr>
              <w:jc w:val="right"/>
            </w:pPr>
            <w:r>
              <w:t>13.365</w:t>
            </w:r>
          </w:p>
        </w:tc>
        <w:tc>
          <w:tcPr>
            <w:tcW w:w="510" w:type="dxa"/>
            <w:vAlign w:val="top"/>
          </w:tcPr>
          <w:p w:rsidR="009520A9" w:rsidRDefault="00770482">
            <w:pPr>
              <w:jc w:val="right"/>
            </w:pPr>
            <w:r>
              <w:t>100,0</w:t>
            </w:r>
          </w:p>
        </w:tc>
      </w:tr>
    </w:tbl>
    <w:p w:rsidR="009520A9" w:rsidRDefault="009520A9">
      <w:pPr>
        <w:jc w:val="left"/>
      </w:pPr>
    </w:p>
    <w:p w:rsidR="009520A9" w:rsidRDefault="00770482">
      <w:r>
        <w:t>U okviru ove aktivnosti planirana su stručna usavršavanja nastavnika koja će se provoditi kroz 100 stručnih skupova na godišnjoj bazi koji uključuje troškove predavača i troškove najma prostora. Po svakom skupu planirano je stručno usavršiti 20 nas</w:t>
      </w:r>
      <w:r>
        <w:t xml:space="preserve">tavnika.  </w:t>
      </w:r>
    </w:p>
    <w:p w:rsidR="009520A9" w:rsidRDefault="00770482">
      <w:r>
        <w:t>Nadalje, na godišnjoj bazi planirano je 50 stručno pedagoških nadzora u strukovnim školama za troškove zaposlenika upućenih u stručni nadzor.</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637"/>
        <w:gridCol w:w="2095"/>
        <w:gridCol w:w="899"/>
        <w:gridCol w:w="917"/>
        <w:gridCol w:w="907"/>
        <w:gridCol w:w="917"/>
        <w:gridCol w:w="917"/>
        <w:gridCol w:w="91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održanih stručnih skupova/radionica/konferencija</w:t>
            </w:r>
          </w:p>
        </w:tc>
        <w:tc>
          <w:tcPr>
            <w:tcW w:w="2245" w:type="dxa"/>
            <w:vAlign w:val="top"/>
          </w:tcPr>
          <w:p w:rsidR="009520A9" w:rsidRDefault="00770482">
            <w:pPr>
              <w:pStyle w:val="CellColumn"/>
              <w:jc w:val="left"/>
            </w:pPr>
            <w:r>
              <w:rPr>
                <w:rFonts w:cs="Times New Roman"/>
              </w:rPr>
              <w:t>Sukladno dodjeljenim ovlastima ASOO priprema, organizira i provodi radionice za nastavnike i ravnatelje</w:t>
            </w:r>
          </w:p>
        </w:tc>
        <w:tc>
          <w:tcPr>
            <w:tcW w:w="918" w:type="dxa"/>
          </w:tcPr>
          <w:p w:rsidR="009520A9" w:rsidRDefault="00770482">
            <w:pPr>
              <w:jc w:val="center"/>
            </w:pPr>
            <w:r>
              <w:t>broj</w:t>
            </w:r>
          </w:p>
        </w:tc>
        <w:tc>
          <w:tcPr>
            <w:tcW w:w="918" w:type="dxa"/>
          </w:tcPr>
          <w:p w:rsidR="009520A9" w:rsidRDefault="00770482">
            <w:pPr>
              <w:jc w:val="center"/>
            </w:pPr>
            <w:r>
              <w:t>100</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100</w:t>
            </w:r>
          </w:p>
        </w:tc>
        <w:tc>
          <w:tcPr>
            <w:tcW w:w="918" w:type="dxa"/>
          </w:tcPr>
          <w:p w:rsidR="009520A9" w:rsidRDefault="00770482">
            <w:pPr>
              <w:jc w:val="center"/>
            </w:pPr>
            <w:r>
              <w:t>100</w:t>
            </w:r>
          </w:p>
        </w:tc>
        <w:tc>
          <w:tcPr>
            <w:tcW w:w="918" w:type="dxa"/>
          </w:tcPr>
          <w:p w:rsidR="009520A9" w:rsidRDefault="00770482">
            <w:pPr>
              <w:jc w:val="center"/>
            </w:pPr>
            <w:r>
              <w:t>100</w:t>
            </w:r>
          </w:p>
        </w:tc>
      </w:tr>
      <w:tr w:rsidR="009520A9">
        <w:trPr>
          <w:jc w:val="center"/>
        </w:trPr>
        <w:tc>
          <w:tcPr>
            <w:tcW w:w="2245" w:type="dxa"/>
            <w:vAlign w:val="top"/>
          </w:tcPr>
          <w:p w:rsidR="009520A9" w:rsidRDefault="00770482">
            <w:pPr>
              <w:pStyle w:val="CellColumn"/>
              <w:jc w:val="left"/>
            </w:pPr>
            <w:r>
              <w:rPr>
                <w:rFonts w:cs="Times New Roman"/>
              </w:rPr>
              <w:t>Broj obavljenih stručno-pedagoških posjeta</w:t>
            </w:r>
          </w:p>
        </w:tc>
        <w:tc>
          <w:tcPr>
            <w:tcW w:w="2245" w:type="dxa"/>
            <w:vAlign w:val="top"/>
          </w:tcPr>
          <w:p w:rsidR="009520A9" w:rsidRDefault="00770482">
            <w:pPr>
              <w:pStyle w:val="CellColumn"/>
              <w:jc w:val="left"/>
            </w:pPr>
            <w:r>
              <w:rPr>
                <w:rFonts w:cs="Times New Roman"/>
              </w:rPr>
              <w:t>Sukladno dodjeljenim ovlastima ASOO provodi stručno-pedagoški nadzor, a u cilju povećanja kvalitete rada i unapređenja procesa ustanova za strukovno obrazovanje</w:t>
            </w:r>
          </w:p>
        </w:tc>
        <w:tc>
          <w:tcPr>
            <w:tcW w:w="918" w:type="dxa"/>
          </w:tcPr>
          <w:p w:rsidR="009520A9" w:rsidRDefault="00770482">
            <w:pPr>
              <w:jc w:val="center"/>
            </w:pPr>
            <w:r>
              <w:t>broj</w:t>
            </w:r>
          </w:p>
        </w:tc>
        <w:tc>
          <w:tcPr>
            <w:tcW w:w="918" w:type="dxa"/>
          </w:tcPr>
          <w:p w:rsidR="009520A9" w:rsidRDefault="00770482">
            <w:pPr>
              <w:jc w:val="center"/>
            </w:pPr>
            <w:r>
              <w:t>40</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50</w:t>
            </w:r>
          </w:p>
        </w:tc>
        <w:tc>
          <w:tcPr>
            <w:tcW w:w="918" w:type="dxa"/>
          </w:tcPr>
          <w:p w:rsidR="009520A9" w:rsidRDefault="00770482">
            <w:pPr>
              <w:jc w:val="center"/>
            </w:pPr>
            <w:r>
              <w:t>50</w:t>
            </w:r>
          </w:p>
        </w:tc>
        <w:tc>
          <w:tcPr>
            <w:tcW w:w="918" w:type="dxa"/>
          </w:tcPr>
          <w:p w:rsidR="009520A9" w:rsidRDefault="00770482">
            <w:pPr>
              <w:jc w:val="center"/>
            </w:pPr>
            <w:r>
              <w:t>50</w:t>
            </w:r>
          </w:p>
        </w:tc>
      </w:tr>
    </w:tbl>
    <w:p w:rsidR="009520A9" w:rsidRDefault="009520A9">
      <w:pPr>
        <w:jc w:val="left"/>
      </w:pPr>
    </w:p>
    <w:p w:rsidR="009520A9" w:rsidRDefault="00770482">
      <w:pPr>
        <w:pStyle w:val="Heading4"/>
      </w:pPr>
      <w:r>
        <w:t>A848014 RAZVOJ SUSTAVA STRUKOVNOG OBRAZOVANJA</w:t>
      </w:r>
    </w:p>
    <w:p w:rsidR="009520A9" w:rsidRDefault="00770482">
      <w:pPr>
        <w:pStyle w:val="Heading8"/>
        <w:jc w:val="left"/>
      </w:pPr>
      <w:r>
        <w:t>Zakonske i druge pravne osnove</w:t>
      </w:r>
    </w:p>
    <w:p w:rsidR="009520A9" w:rsidRDefault="00770482">
      <w:r>
        <w:t>Članak 4, stavak 2 Zakona o Agenciji za strukovno obrazovanje i obrazovanje odraslih; Zakon o strukovnom obrazovanju</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A848014</w:t>
            </w:r>
          </w:p>
        </w:tc>
        <w:tc>
          <w:tcPr>
            <w:tcW w:w="1632" w:type="dxa"/>
            <w:vAlign w:val="top"/>
          </w:tcPr>
          <w:p w:rsidR="009520A9" w:rsidRDefault="00770482">
            <w:pPr>
              <w:jc w:val="right"/>
            </w:pPr>
            <w:r>
              <w:t>6.902</w:t>
            </w:r>
          </w:p>
        </w:tc>
        <w:tc>
          <w:tcPr>
            <w:tcW w:w="1632" w:type="dxa"/>
            <w:vAlign w:val="top"/>
          </w:tcPr>
          <w:p w:rsidR="009520A9" w:rsidRDefault="00770482">
            <w:pPr>
              <w:jc w:val="right"/>
            </w:pPr>
            <w:r>
              <w:t>10.910</w:t>
            </w:r>
          </w:p>
        </w:tc>
        <w:tc>
          <w:tcPr>
            <w:tcW w:w="1632" w:type="dxa"/>
            <w:vAlign w:val="top"/>
          </w:tcPr>
          <w:p w:rsidR="009520A9" w:rsidRDefault="00770482">
            <w:pPr>
              <w:jc w:val="right"/>
            </w:pPr>
            <w:r>
              <w:t>10.910</w:t>
            </w:r>
          </w:p>
        </w:tc>
        <w:tc>
          <w:tcPr>
            <w:tcW w:w="1632" w:type="dxa"/>
            <w:vAlign w:val="top"/>
          </w:tcPr>
          <w:p w:rsidR="009520A9" w:rsidRDefault="00770482">
            <w:pPr>
              <w:jc w:val="right"/>
            </w:pPr>
            <w:r>
              <w:t>10.910</w:t>
            </w:r>
          </w:p>
        </w:tc>
        <w:tc>
          <w:tcPr>
            <w:tcW w:w="1632" w:type="dxa"/>
            <w:vAlign w:val="top"/>
          </w:tcPr>
          <w:p w:rsidR="009520A9" w:rsidRDefault="00770482">
            <w:pPr>
              <w:jc w:val="right"/>
            </w:pPr>
            <w:r>
              <w:t>10.910</w:t>
            </w:r>
          </w:p>
        </w:tc>
        <w:tc>
          <w:tcPr>
            <w:tcW w:w="510" w:type="dxa"/>
            <w:vAlign w:val="top"/>
          </w:tcPr>
          <w:p w:rsidR="009520A9" w:rsidRDefault="00770482">
            <w:pPr>
              <w:jc w:val="right"/>
            </w:pPr>
            <w:r>
              <w:t>100,0</w:t>
            </w:r>
          </w:p>
        </w:tc>
      </w:tr>
    </w:tbl>
    <w:p w:rsidR="009520A9" w:rsidRDefault="009520A9">
      <w:pPr>
        <w:jc w:val="left"/>
      </w:pPr>
    </w:p>
    <w:p w:rsidR="009520A9" w:rsidRDefault="00770482">
      <w:r>
        <w:t>Proračunska aktivnost planirana je s ciljem odobravanja drugih obrazovnih materijala. Kroz ovu aktivnost planirane su naknade stručnom povjerenstvu za prosudbu 2650 drugih obrazovnih materijala, a u cilju unapređenja odgojno-obrazovnog procesa.</w:t>
      </w:r>
    </w:p>
    <w:p w:rsidR="009520A9" w:rsidRDefault="00770482">
      <w:pPr>
        <w:pStyle w:val="Heading8"/>
        <w:jc w:val="left"/>
      </w:pPr>
      <w:r>
        <w:t>Pokazatelji</w:t>
      </w:r>
      <w:r>
        <w:t xml:space="preserve">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odobrenih drugih obrazovnih materijala</w:t>
            </w:r>
          </w:p>
        </w:tc>
        <w:tc>
          <w:tcPr>
            <w:tcW w:w="2245" w:type="dxa"/>
            <w:vAlign w:val="top"/>
          </w:tcPr>
          <w:p w:rsidR="009520A9" w:rsidRDefault="00770482">
            <w:pPr>
              <w:pStyle w:val="CellColumn"/>
              <w:jc w:val="left"/>
            </w:pPr>
            <w:r>
              <w:rPr>
                <w:rFonts w:cs="Times New Roman"/>
              </w:rPr>
              <w:t>Sukladno dodjeljenim ovlastima ASOO odobrava druge obrazovne materijale, a u cilju unapređenja odgojno-obrazovnog procesa.</w:t>
            </w:r>
          </w:p>
        </w:tc>
        <w:tc>
          <w:tcPr>
            <w:tcW w:w="918" w:type="dxa"/>
          </w:tcPr>
          <w:p w:rsidR="009520A9" w:rsidRDefault="00770482">
            <w:pPr>
              <w:jc w:val="center"/>
            </w:pPr>
            <w:r>
              <w:t>broj</w:t>
            </w:r>
          </w:p>
        </w:tc>
        <w:tc>
          <w:tcPr>
            <w:tcW w:w="918" w:type="dxa"/>
          </w:tcPr>
          <w:p w:rsidR="009520A9" w:rsidRDefault="00770482">
            <w:pPr>
              <w:jc w:val="center"/>
            </w:pPr>
            <w:r>
              <w:t>4</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900</w:t>
            </w:r>
          </w:p>
        </w:tc>
        <w:tc>
          <w:tcPr>
            <w:tcW w:w="918" w:type="dxa"/>
          </w:tcPr>
          <w:p w:rsidR="009520A9" w:rsidRDefault="00770482">
            <w:pPr>
              <w:jc w:val="center"/>
            </w:pPr>
            <w:r>
              <w:t>900</w:t>
            </w:r>
          </w:p>
        </w:tc>
        <w:tc>
          <w:tcPr>
            <w:tcW w:w="918" w:type="dxa"/>
          </w:tcPr>
          <w:p w:rsidR="009520A9" w:rsidRDefault="00770482">
            <w:pPr>
              <w:jc w:val="center"/>
            </w:pPr>
            <w:r>
              <w:t>850</w:t>
            </w:r>
          </w:p>
        </w:tc>
      </w:tr>
    </w:tbl>
    <w:p w:rsidR="009520A9" w:rsidRDefault="009520A9">
      <w:pPr>
        <w:jc w:val="left"/>
      </w:pPr>
    </w:p>
    <w:p w:rsidR="009520A9" w:rsidRDefault="00770482">
      <w:pPr>
        <w:pStyle w:val="Heading4"/>
      </w:pPr>
      <w:r>
        <w:t>A848018 DRŽAVNA NATJECANJA</w:t>
      </w:r>
    </w:p>
    <w:p w:rsidR="009520A9" w:rsidRDefault="00770482">
      <w:pPr>
        <w:pStyle w:val="Heading8"/>
        <w:jc w:val="left"/>
      </w:pPr>
      <w:r>
        <w:t>Zakonske i druge pravne osnove</w:t>
      </w:r>
    </w:p>
    <w:p w:rsidR="009520A9" w:rsidRDefault="00770482">
      <w:r>
        <w:t>Članak 4, stavak 2 Zakona o Agenciji za strukovno obrazovanje i obrazovanje odraslih; Zakon o strukovnom obrazovanju; Program razvoja sustava strukovnog obrazovanja i osposobljavanja 2016. – 2020.</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w:t>
            </w:r>
            <w:r>
              <w:rPr>
                <w:rFonts w:cs="Times New Roman"/>
              </w:rPr>
              <w:t xml:space="preserve">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A848018</w:t>
            </w:r>
          </w:p>
        </w:tc>
        <w:tc>
          <w:tcPr>
            <w:tcW w:w="1632" w:type="dxa"/>
            <w:vAlign w:val="top"/>
          </w:tcPr>
          <w:p w:rsidR="009520A9" w:rsidRDefault="00770482">
            <w:pPr>
              <w:jc w:val="right"/>
            </w:pPr>
            <w:r>
              <w:t>142.384</w:t>
            </w:r>
          </w:p>
        </w:tc>
        <w:tc>
          <w:tcPr>
            <w:tcW w:w="1632" w:type="dxa"/>
            <w:vAlign w:val="top"/>
          </w:tcPr>
          <w:p w:rsidR="009520A9" w:rsidRDefault="00770482">
            <w:pPr>
              <w:jc w:val="right"/>
            </w:pPr>
            <w:r>
              <w:t>156.080</w:t>
            </w:r>
          </w:p>
        </w:tc>
        <w:tc>
          <w:tcPr>
            <w:tcW w:w="1632" w:type="dxa"/>
            <w:vAlign w:val="top"/>
          </w:tcPr>
          <w:p w:rsidR="009520A9" w:rsidRDefault="00770482">
            <w:pPr>
              <w:jc w:val="right"/>
            </w:pPr>
            <w:r>
              <w:t>152.901</w:t>
            </w:r>
          </w:p>
        </w:tc>
        <w:tc>
          <w:tcPr>
            <w:tcW w:w="1632" w:type="dxa"/>
            <w:vAlign w:val="top"/>
          </w:tcPr>
          <w:p w:rsidR="009520A9" w:rsidRDefault="00770482">
            <w:pPr>
              <w:jc w:val="right"/>
            </w:pPr>
            <w:r>
              <w:t>152.901</w:t>
            </w:r>
          </w:p>
        </w:tc>
        <w:tc>
          <w:tcPr>
            <w:tcW w:w="1632" w:type="dxa"/>
            <w:vAlign w:val="top"/>
          </w:tcPr>
          <w:p w:rsidR="009520A9" w:rsidRDefault="00770482">
            <w:pPr>
              <w:jc w:val="right"/>
            </w:pPr>
            <w:r>
              <w:t>152.901</w:t>
            </w:r>
          </w:p>
        </w:tc>
        <w:tc>
          <w:tcPr>
            <w:tcW w:w="510" w:type="dxa"/>
            <w:vAlign w:val="top"/>
          </w:tcPr>
          <w:p w:rsidR="009520A9" w:rsidRDefault="00770482">
            <w:pPr>
              <w:jc w:val="right"/>
            </w:pPr>
            <w:r>
              <w:t>98,0</w:t>
            </w:r>
          </w:p>
        </w:tc>
      </w:tr>
    </w:tbl>
    <w:p w:rsidR="009520A9" w:rsidRDefault="009520A9">
      <w:pPr>
        <w:jc w:val="left"/>
      </w:pPr>
    </w:p>
    <w:p w:rsidR="009520A9" w:rsidRDefault="00770482">
      <w:r>
        <w:t xml:space="preserve">Aktivnosti planiranja i provođenja državnih natjecanja u strukovnim disciplinama i smotrama učenika organiziraju se s ciljem promicanja privlačnosti strukovnog obrazovanja i vještina učenika strukovnih programa. Razvojem učeničkih kompetencija i razmjenom </w:t>
      </w:r>
      <w:r>
        <w:t xml:space="preserve">iskustava nastavnika/mentora osuvremenjuju se strukovni programi i učenicima se olakšava ulazak u svijet rada.  </w:t>
      </w:r>
    </w:p>
    <w:p w:rsidR="009520A9" w:rsidRDefault="00770482">
      <w:r>
        <w:t>Predviđa se i podmirenje troškova članstva u međunarodnim asocijacijama WorldSkills Europe i WorldSkills International.</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w:t>
            </w:r>
            <w:r>
              <w:t>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disciplina i smotri radova učenika</w:t>
            </w:r>
          </w:p>
        </w:tc>
        <w:tc>
          <w:tcPr>
            <w:tcW w:w="2245" w:type="dxa"/>
            <w:vAlign w:val="top"/>
          </w:tcPr>
          <w:p w:rsidR="009520A9" w:rsidRDefault="00770482">
            <w:pPr>
              <w:pStyle w:val="CellColumn"/>
              <w:jc w:val="left"/>
            </w:pPr>
            <w:r>
              <w:rPr>
                <w:rFonts w:cs="Times New Roman"/>
              </w:rPr>
              <w:t>Sukladno dodjeljenim ovlastima ASOO organizira državna natjecanja i smotre učenika na kojima predstavljaju stečeno znanje, vještine, sposobnosti i kompetencije, a nastavnici rezultate rada u svrhu unaprjeđivanja svog odgojno-obrazovnoga rada.</w:t>
            </w:r>
          </w:p>
        </w:tc>
        <w:tc>
          <w:tcPr>
            <w:tcW w:w="918" w:type="dxa"/>
          </w:tcPr>
          <w:p w:rsidR="009520A9" w:rsidRDefault="00770482">
            <w:pPr>
              <w:jc w:val="center"/>
            </w:pPr>
            <w:r>
              <w:t>Broj</w:t>
            </w:r>
          </w:p>
        </w:tc>
        <w:tc>
          <w:tcPr>
            <w:tcW w:w="918" w:type="dxa"/>
          </w:tcPr>
          <w:p w:rsidR="009520A9" w:rsidRDefault="00770482">
            <w:pPr>
              <w:jc w:val="center"/>
            </w:pPr>
            <w:r>
              <w:t>45</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45</w:t>
            </w:r>
          </w:p>
        </w:tc>
        <w:tc>
          <w:tcPr>
            <w:tcW w:w="918" w:type="dxa"/>
          </w:tcPr>
          <w:p w:rsidR="009520A9" w:rsidRDefault="00770482">
            <w:pPr>
              <w:jc w:val="center"/>
            </w:pPr>
            <w:r>
              <w:t>45</w:t>
            </w:r>
          </w:p>
        </w:tc>
        <w:tc>
          <w:tcPr>
            <w:tcW w:w="918" w:type="dxa"/>
          </w:tcPr>
          <w:p w:rsidR="009520A9" w:rsidRDefault="00770482">
            <w:pPr>
              <w:jc w:val="center"/>
            </w:pPr>
            <w:r>
              <w:t>45</w:t>
            </w:r>
          </w:p>
        </w:tc>
      </w:tr>
    </w:tbl>
    <w:p w:rsidR="009520A9" w:rsidRDefault="009520A9">
      <w:pPr>
        <w:jc w:val="left"/>
      </w:pPr>
    </w:p>
    <w:p w:rsidR="009520A9" w:rsidRDefault="00770482">
      <w:pPr>
        <w:pStyle w:val="Heading4"/>
      </w:pPr>
      <w:r>
        <w:t>A848020 RAZVOJ SUSTAVA OBRAZOVANJA ODRASLIH</w:t>
      </w:r>
    </w:p>
    <w:p w:rsidR="009520A9" w:rsidRDefault="00770482">
      <w:pPr>
        <w:pStyle w:val="Heading8"/>
        <w:jc w:val="left"/>
      </w:pPr>
      <w:r>
        <w:t>Zakonske i druge pravne osnove</w:t>
      </w:r>
    </w:p>
    <w:p w:rsidR="009520A9" w:rsidRDefault="00770482">
      <w:r>
        <w:t>Članak 4, stavak 2 Zakona o Agenciji za strukovno obrazovanje i obrazovanje odraslih; Zakon o obrazovanju odraslih</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A848020</w:t>
            </w:r>
          </w:p>
        </w:tc>
        <w:tc>
          <w:tcPr>
            <w:tcW w:w="1632" w:type="dxa"/>
            <w:vAlign w:val="top"/>
          </w:tcPr>
          <w:p w:rsidR="009520A9" w:rsidRDefault="00770482">
            <w:pPr>
              <w:jc w:val="right"/>
            </w:pPr>
            <w:r>
              <w:t>6.703</w:t>
            </w:r>
          </w:p>
        </w:tc>
        <w:tc>
          <w:tcPr>
            <w:tcW w:w="1632" w:type="dxa"/>
            <w:vAlign w:val="top"/>
          </w:tcPr>
          <w:p w:rsidR="009520A9" w:rsidRDefault="00770482">
            <w:pPr>
              <w:jc w:val="right"/>
            </w:pPr>
            <w:r>
              <w:t>10.676</w:t>
            </w:r>
          </w:p>
        </w:tc>
        <w:tc>
          <w:tcPr>
            <w:tcW w:w="1632" w:type="dxa"/>
            <w:vAlign w:val="top"/>
          </w:tcPr>
          <w:p w:rsidR="009520A9" w:rsidRDefault="00770482">
            <w:pPr>
              <w:jc w:val="right"/>
            </w:pPr>
            <w:r>
              <w:t>21.175</w:t>
            </w:r>
          </w:p>
        </w:tc>
        <w:tc>
          <w:tcPr>
            <w:tcW w:w="1632" w:type="dxa"/>
            <w:vAlign w:val="top"/>
          </w:tcPr>
          <w:p w:rsidR="009520A9" w:rsidRDefault="00770482">
            <w:pPr>
              <w:jc w:val="right"/>
            </w:pPr>
            <w:r>
              <w:t>21.175</w:t>
            </w:r>
          </w:p>
        </w:tc>
        <w:tc>
          <w:tcPr>
            <w:tcW w:w="1632" w:type="dxa"/>
            <w:vAlign w:val="top"/>
          </w:tcPr>
          <w:p w:rsidR="009520A9" w:rsidRDefault="00770482">
            <w:pPr>
              <w:jc w:val="right"/>
            </w:pPr>
            <w:r>
              <w:t>21.175</w:t>
            </w:r>
          </w:p>
        </w:tc>
        <w:tc>
          <w:tcPr>
            <w:tcW w:w="510" w:type="dxa"/>
            <w:vAlign w:val="top"/>
          </w:tcPr>
          <w:p w:rsidR="009520A9" w:rsidRDefault="00770482">
            <w:pPr>
              <w:jc w:val="right"/>
            </w:pPr>
            <w:r>
              <w:t>198,3</w:t>
            </w:r>
          </w:p>
        </w:tc>
      </w:tr>
    </w:tbl>
    <w:p w:rsidR="009520A9" w:rsidRDefault="009520A9">
      <w:pPr>
        <w:jc w:val="left"/>
      </w:pPr>
    </w:p>
    <w:p w:rsidR="009520A9" w:rsidRDefault="00770482">
      <w:r>
        <w:t>Ova aktivnost financira se u svrhu podizanja sustava kvalitete u obrazovanju odraslih kroz stručna osposobljavanja i usavršavanja zaposlenih u sustavu obrazovanja odraslih (ravnatelji ustanova, voditelji obrazovanja odraslih, nastavnici i vanjski suradnici</w:t>
      </w:r>
      <w:r>
        <w:t xml:space="preserve">), te zbog razvoja novih metodoloških smjernica i modernih programa obrazovanja odraslih. Aktivnosti će se provoditi kroz različite radionice, stručne skupove, konferencije uz angažman stručnjaka.  </w:t>
      </w:r>
    </w:p>
    <w:p w:rsidR="009520A9" w:rsidRDefault="00770482">
      <w:r>
        <w:t>Na ovoj aktivnosti planirana su za intelektualne usluge tj. za izradu recenzija za programe za obrazovanja odraslih i izradu i recenziju stručnih materijala. Agencija je temeljem nove zakonske ovlasti koja se odnosi na vrednovanje skupova ishoda učenja duž</w:t>
      </w:r>
      <w:r>
        <w:t>na provoditi aktivnosti te će nam za ovu aktivnost trebati sredstva za angažman vanjskih stručnjaka.  (Zakon o obrazovanju odraslih NN 144/2021 i Pravilnik o načinu vanjskog vrednovanja ustanova za obrazovanje odraslih i skupova ishoda učenja te načinu rad</w:t>
      </w:r>
      <w:r>
        <w:t>a i imenovanja povjerenstava  za prigovore na izvješće za vanjsko vrednovanje NN 19/2023.) iz ovog izvora financirat će se naknada članovima povjerenstava za vanjsko vrednovanje skupova ishoda učenja i vanjsko vrednovanje ustanova za obrazovanje odraslih.</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angažiranih stručnjaka</w:t>
            </w:r>
          </w:p>
        </w:tc>
        <w:tc>
          <w:tcPr>
            <w:tcW w:w="2245" w:type="dxa"/>
            <w:vAlign w:val="top"/>
          </w:tcPr>
          <w:p w:rsidR="009520A9" w:rsidRDefault="00770482">
            <w:pPr>
              <w:pStyle w:val="CellColumn"/>
              <w:jc w:val="left"/>
            </w:pPr>
            <w:r>
              <w:rPr>
                <w:rFonts w:cs="Times New Roman"/>
              </w:rPr>
              <w:t>Sukladno dodjeljenjim ovlastima Agencija će za izradu novih programa obrazovanja odraslih, njihovu recenziju te za pitanja vezano uz metodologiju izrade programa obrazovanja odraslih angažirati stručnjake - samostalno ili putem povjerenstava</w:t>
            </w:r>
          </w:p>
        </w:tc>
        <w:tc>
          <w:tcPr>
            <w:tcW w:w="918" w:type="dxa"/>
          </w:tcPr>
          <w:p w:rsidR="009520A9" w:rsidRDefault="00770482">
            <w:pPr>
              <w:jc w:val="center"/>
            </w:pPr>
            <w:r>
              <w:t>Broj</w:t>
            </w:r>
          </w:p>
        </w:tc>
        <w:tc>
          <w:tcPr>
            <w:tcW w:w="918" w:type="dxa"/>
          </w:tcPr>
          <w:p w:rsidR="009520A9" w:rsidRDefault="00770482">
            <w:pPr>
              <w:jc w:val="center"/>
            </w:pPr>
            <w:r>
              <w:t>10</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30</w:t>
            </w:r>
          </w:p>
        </w:tc>
        <w:tc>
          <w:tcPr>
            <w:tcW w:w="918" w:type="dxa"/>
          </w:tcPr>
          <w:p w:rsidR="009520A9" w:rsidRDefault="00770482">
            <w:pPr>
              <w:jc w:val="center"/>
            </w:pPr>
            <w:r>
              <w:t>30</w:t>
            </w:r>
          </w:p>
        </w:tc>
        <w:tc>
          <w:tcPr>
            <w:tcW w:w="918" w:type="dxa"/>
          </w:tcPr>
          <w:p w:rsidR="009520A9" w:rsidRDefault="00770482">
            <w:pPr>
              <w:jc w:val="center"/>
            </w:pPr>
            <w:r>
              <w:t>30</w:t>
            </w:r>
          </w:p>
        </w:tc>
      </w:tr>
    </w:tbl>
    <w:p w:rsidR="009520A9" w:rsidRDefault="009520A9">
      <w:pPr>
        <w:jc w:val="left"/>
      </w:pPr>
    </w:p>
    <w:p w:rsidR="009520A9" w:rsidRDefault="00770482">
      <w:pPr>
        <w:pStyle w:val="Heading4"/>
      </w:pPr>
      <w:r>
        <w:t>A848023 REFERNET U REPUBLICI HRVATSKOJ</w:t>
      </w:r>
    </w:p>
    <w:p w:rsidR="009520A9" w:rsidRDefault="00770482">
      <w:pPr>
        <w:pStyle w:val="Heading8"/>
        <w:jc w:val="left"/>
      </w:pPr>
      <w:r>
        <w:t>Zakonske i druge pravne osnove</w:t>
      </w:r>
    </w:p>
    <w:p w:rsidR="009520A9" w:rsidRDefault="00770482">
      <w:r>
        <w:t>Članak 4, stavak 2 Zakona o Agenciji za strukovno obrazovanje i obrazovanje odraslih</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w:t>
            </w:r>
            <w:r>
              <w:rPr>
                <w:rFonts w:cs="Times New Roman"/>
              </w:rPr>
              <w:t>023</w:t>
            </w:r>
          </w:p>
        </w:tc>
      </w:tr>
      <w:tr w:rsidR="009520A9">
        <w:trPr>
          <w:jc w:val="center"/>
        </w:trPr>
        <w:tc>
          <w:tcPr>
            <w:tcW w:w="1530" w:type="dxa"/>
            <w:vAlign w:val="top"/>
          </w:tcPr>
          <w:p w:rsidR="009520A9" w:rsidRDefault="00770482">
            <w:pPr>
              <w:pStyle w:val="CellColumn"/>
              <w:jc w:val="left"/>
            </w:pPr>
            <w:r>
              <w:rPr>
                <w:rFonts w:cs="Times New Roman"/>
              </w:rPr>
              <w:t>A848023</w:t>
            </w:r>
          </w:p>
        </w:tc>
        <w:tc>
          <w:tcPr>
            <w:tcW w:w="1632" w:type="dxa"/>
            <w:vAlign w:val="top"/>
          </w:tcPr>
          <w:p w:rsidR="009520A9" w:rsidRDefault="00770482">
            <w:pPr>
              <w:jc w:val="right"/>
            </w:pPr>
            <w:r>
              <w:t>7.569</w:t>
            </w:r>
          </w:p>
        </w:tc>
        <w:tc>
          <w:tcPr>
            <w:tcW w:w="1632" w:type="dxa"/>
            <w:vAlign w:val="top"/>
          </w:tcPr>
          <w:p w:rsidR="009520A9" w:rsidRDefault="00770482">
            <w:pPr>
              <w:jc w:val="right"/>
            </w:pPr>
            <w:r>
              <w:t>17.918</w:t>
            </w:r>
          </w:p>
        </w:tc>
        <w:tc>
          <w:tcPr>
            <w:tcW w:w="1632" w:type="dxa"/>
            <w:vAlign w:val="top"/>
          </w:tcPr>
          <w:p w:rsidR="009520A9" w:rsidRDefault="00770482">
            <w:pPr>
              <w:jc w:val="right"/>
            </w:pPr>
            <w:r>
              <w:t>17.918</w:t>
            </w:r>
          </w:p>
        </w:tc>
        <w:tc>
          <w:tcPr>
            <w:tcW w:w="1632" w:type="dxa"/>
            <w:vAlign w:val="top"/>
          </w:tcPr>
          <w:p w:rsidR="009520A9" w:rsidRDefault="00770482">
            <w:pPr>
              <w:jc w:val="right"/>
            </w:pPr>
            <w:r>
              <w:t>17.918</w:t>
            </w:r>
          </w:p>
        </w:tc>
        <w:tc>
          <w:tcPr>
            <w:tcW w:w="1632" w:type="dxa"/>
            <w:vAlign w:val="top"/>
          </w:tcPr>
          <w:p w:rsidR="009520A9" w:rsidRDefault="00770482">
            <w:pPr>
              <w:jc w:val="right"/>
            </w:pPr>
            <w:r>
              <w:t>17.918</w:t>
            </w:r>
          </w:p>
        </w:tc>
        <w:tc>
          <w:tcPr>
            <w:tcW w:w="510" w:type="dxa"/>
            <w:vAlign w:val="top"/>
          </w:tcPr>
          <w:p w:rsidR="009520A9" w:rsidRDefault="00770482">
            <w:pPr>
              <w:jc w:val="right"/>
            </w:pPr>
            <w:r>
              <w:t>100,0</w:t>
            </w:r>
          </w:p>
        </w:tc>
      </w:tr>
    </w:tbl>
    <w:p w:rsidR="009520A9" w:rsidRDefault="009520A9">
      <w:pPr>
        <w:jc w:val="left"/>
      </w:pPr>
    </w:p>
    <w:p w:rsidR="009520A9" w:rsidRDefault="00770482">
      <w:r>
        <w:t>U razdoblju od 2024.-2027. godine Agencija će nastaviti provoditi projekt ReferNet Hrvatska, u okviru ReferNet-ove mreže, a kao dio novog četverogodišnjeg Okvirnog partnerskoga sporazuma Agencije i Cedefop-a. Projekt za cilj ima pružati Cedefop-u informaci</w:t>
      </w:r>
      <w:r>
        <w:t>je o nacionalnom sustavu i politikama strukovnog obrazovanja i osposobljavanja te podići vidljivost strukovnog obrazovanja i osposobljavanja.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izrađenih dokumenata nastalih provedbom projekta</w:t>
            </w:r>
          </w:p>
        </w:tc>
        <w:tc>
          <w:tcPr>
            <w:tcW w:w="2245" w:type="dxa"/>
            <w:vAlign w:val="top"/>
          </w:tcPr>
          <w:p w:rsidR="009520A9" w:rsidRDefault="00770482">
            <w:pPr>
              <w:pStyle w:val="CellColumn"/>
              <w:jc w:val="left"/>
            </w:pPr>
            <w:r>
              <w:rPr>
                <w:rFonts w:cs="Times New Roman"/>
              </w:rPr>
              <w:t>U okviru provedbe projekta izrađuju se različiti dokumenti (članci, analize, izvješća).</w:t>
            </w:r>
          </w:p>
        </w:tc>
        <w:tc>
          <w:tcPr>
            <w:tcW w:w="918" w:type="dxa"/>
          </w:tcPr>
          <w:p w:rsidR="009520A9" w:rsidRDefault="00770482">
            <w:pPr>
              <w:jc w:val="center"/>
            </w:pPr>
            <w:r>
              <w:t>Broj</w:t>
            </w:r>
          </w:p>
        </w:tc>
        <w:tc>
          <w:tcPr>
            <w:tcW w:w="918" w:type="dxa"/>
          </w:tcPr>
          <w:p w:rsidR="009520A9" w:rsidRDefault="00770482">
            <w:pPr>
              <w:jc w:val="center"/>
            </w:pPr>
            <w:r>
              <w:t>3</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6</w:t>
            </w:r>
          </w:p>
        </w:tc>
        <w:tc>
          <w:tcPr>
            <w:tcW w:w="918" w:type="dxa"/>
          </w:tcPr>
          <w:p w:rsidR="009520A9" w:rsidRDefault="00770482">
            <w:pPr>
              <w:jc w:val="center"/>
            </w:pPr>
            <w:r>
              <w:t>6</w:t>
            </w:r>
          </w:p>
        </w:tc>
        <w:tc>
          <w:tcPr>
            <w:tcW w:w="918" w:type="dxa"/>
          </w:tcPr>
          <w:p w:rsidR="009520A9" w:rsidRDefault="00770482">
            <w:pPr>
              <w:jc w:val="center"/>
            </w:pPr>
            <w:r>
              <w:t>6</w:t>
            </w:r>
          </w:p>
        </w:tc>
      </w:tr>
    </w:tbl>
    <w:p w:rsidR="009520A9" w:rsidRDefault="009520A9">
      <w:pPr>
        <w:jc w:val="left"/>
      </w:pPr>
    </w:p>
    <w:p w:rsidR="009520A9" w:rsidRDefault="00770482">
      <w:pPr>
        <w:pStyle w:val="Heading4"/>
      </w:pPr>
      <w:r>
        <w:t>A848051 ERASMUS PLUS - PROJEKTI</w:t>
      </w:r>
    </w:p>
    <w:p w:rsidR="009520A9" w:rsidRDefault="00770482">
      <w:pPr>
        <w:pStyle w:val="Heading8"/>
        <w:jc w:val="left"/>
      </w:pPr>
      <w:r>
        <w:t>Zakonske i druge pravne osnove</w:t>
      </w:r>
    </w:p>
    <w:p w:rsidR="009520A9" w:rsidRDefault="00770482">
      <w:r>
        <w:t>Članak 4, stavak 2 Zakona o Agenciji za strukovno obrazovanje i obrazovanje odraslih ; 101048372 — EQAVET NRP HR — ERASMUS-EDU-2021-EQAVET-IBA; Erasmus+ Ključna aktivnost 2: Partnerstva za spremnost na digitalno obrazovanje u području strukovnog obrazovanj</w:t>
      </w:r>
      <w:r>
        <w:t xml:space="preserve">a i osposobljavanja, 2020-1-HR01-KA226-VET-094781; Erasmus+ KEY ACTION 2:  COOPERATION FOR INNOVATION AND THE EXCHANGE OF GOOD PRACTICERS, 2020-1-BG01-KA226-VET-095185; Erasmus+ KEY ACTION 2:  STRATEGIC PARTNERSHIP PROJECTS,  2020-1-ES01-KA226-VET-096090; </w:t>
      </w:r>
      <w:r>
        <w:t>EACEA od 1. travnja 2022. – projekt- : 101074842 - ERASMUS-EDU-2022-EPALE-IBA)</w:t>
      </w:r>
    </w:p>
    <w:tbl>
      <w:tblPr>
        <w:tblStyle w:val="StilTablice"/>
        <w:tblW w:w="10206" w:type="dxa"/>
        <w:jc w:val="center"/>
        <w:tblLook w:val="04A0" w:firstRow="1" w:lastRow="0" w:firstColumn="1" w:lastColumn="0" w:noHBand="0" w:noVBand="1"/>
      </w:tblPr>
      <w:tblGrid>
        <w:gridCol w:w="1474"/>
        <w:gridCol w:w="1562"/>
        <w:gridCol w:w="1554"/>
        <w:gridCol w:w="1554"/>
        <w:gridCol w:w="1546"/>
        <w:gridCol w:w="1546"/>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A848051</w:t>
            </w:r>
          </w:p>
        </w:tc>
        <w:tc>
          <w:tcPr>
            <w:tcW w:w="1632" w:type="dxa"/>
            <w:vAlign w:val="top"/>
          </w:tcPr>
          <w:p w:rsidR="009520A9" w:rsidRDefault="00770482">
            <w:pPr>
              <w:jc w:val="right"/>
            </w:pPr>
            <w:r>
              <w:t>00</w:t>
            </w:r>
          </w:p>
        </w:tc>
        <w:tc>
          <w:tcPr>
            <w:tcW w:w="1632" w:type="dxa"/>
            <w:vAlign w:val="top"/>
          </w:tcPr>
          <w:p w:rsidR="009520A9" w:rsidRDefault="00770482">
            <w:pPr>
              <w:jc w:val="right"/>
            </w:pPr>
            <w:r>
              <w:t>337.291</w:t>
            </w:r>
          </w:p>
        </w:tc>
        <w:tc>
          <w:tcPr>
            <w:tcW w:w="1632" w:type="dxa"/>
            <w:vAlign w:val="top"/>
          </w:tcPr>
          <w:p w:rsidR="009520A9" w:rsidRDefault="00770482">
            <w:pPr>
              <w:jc w:val="right"/>
            </w:pPr>
            <w:r>
              <w:t>269.007</w:t>
            </w:r>
          </w:p>
        </w:tc>
        <w:tc>
          <w:tcPr>
            <w:tcW w:w="1632" w:type="dxa"/>
            <w:vAlign w:val="top"/>
          </w:tcPr>
          <w:p w:rsidR="009520A9" w:rsidRDefault="00770482">
            <w:pPr>
              <w:jc w:val="right"/>
            </w:pPr>
            <w:r>
              <w:t>85.954</w:t>
            </w:r>
          </w:p>
        </w:tc>
        <w:tc>
          <w:tcPr>
            <w:tcW w:w="1632" w:type="dxa"/>
            <w:vAlign w:val="top"/>
          </w:tcPr>
          <w:p w:rsidR="009520A9" w:rsidRDefault="00770482">
            <w:pPr>
              <w:jc w:val="right"/>
            </w:pPr>
            <w:r>
              <w:t>34.779</w:t>
            </w:r>
          </w:p>
        </w:tc>
        <w:tc>
          <w:tcPr>
            <w:tcW w:w="510" w:type="dxa"/>
            <w:vAlign w:val="top"/>
          </w:tcPr>
          <w:p w:rsidR="009520A9" w:rsidRDefault="00770482">
            <w:pPr>
              <w:jc w:val="right"/>
            </w:pPr>
            <w:r>
              <w:t>79,8</w:t>
            </w:r>
          </w:p>
        </w:tc>
      </w:tr>
    </w:tbl>
    <w:p w:rsidR="009520A9" w:rsidRDefault="009520A9">
      <w:pPr>
        <w:jc w:val="left"/>
      </w:pPr>
    </w:p>
    <w:p w:rsidR="009520A9" w:rsidRDefault="00770482">
      <w:r>
        <w:t>Agencija je korisnik Erasmus+ projekta EQAVET Nacionalne referentne točke (NRT) za osiguravanje kvalitete u strukovnom obrazovanju, a koji je raspisala Europska komisija, odnosno Izvršna agencija za obrazovanje, audiovizualnu politiku i kulturu (EACEA). Ci</w:t>
      </w:r>
      <w:r>
        <w:t>ljevi projekta su osiguravanje potpore kontinuiranom radu Nacionalne referentne točke (NRP) u Hrvatskoj (qavet.hr) u skladu s funkcijama i odgovornostima NRP-a definiranima u Preporuci Vijeća od 24. studenoga 2020. o strukovnom obrazovanju i osposobljavanj</w:t>
      </w:r>
      <w:r>
        <w:t xml:space="preserve">u (SOO) za održivu konkurentnost, socijalnu pravednost i otpornost.  </w:t>
      </w:r>
    </w:p>
    <w:p w:rsidR="009520A9" w:rsidRDefault="00770482">
      <w:r>
        <w:t>Glavni cilj projekta Erasmus+ Ključna aktivnost 2: Partnerstva za spremnost na digitalno obrazovanje u području strukovnog obrazovanja i osposobljavanja je podržati strukovno obrazovanje i osposobljavanje kroz set digitalnih alata temeljenih na načelima di</w:t>
      </w:r>
      <w:r>
        <w:t>gitalne pedagogije, koji bi osigurali strukovnim nastavnicima kompetencije za integraciju digitalnih tehnologija s njihovom temeljnom strukom te bi se time unaprijedilo učinkovito poučavanje i podignula kvaliteta strukovnog obrazovanja uključujući i učenje</w:t>
      </w:r>
      <w:r>
        <w:t xml:space="preserve"> temeljeno na radu (UTR). Projektom je predviđena izrada digitalnog pedagoškog okvira, 4 modula za učenje u virtualnom svijetu, 1 platforme za učenje i poučavanje i 1 mrežne platforme preko koje će se omogućiti pristup nastavnom sadržaju. U projektu je nag</w:t>
      </w:r>
      <w:r>
        <w:t xml:space="preserve">lasak na virtualnoj izobrazbi za sektore pogođene pandemijom COVID-19 kao što su turizam i ugostiteljstvo i promet i logistika.  </w:t>
      </w:r>
    </w:p>
    <w:p w:rsidR="009520A9" w:rsidRDefault="00770482">
      <w:r>
        <w:t>Cilj Erasmus+ projekta VET @ HOME je ojačati sposobnost strukovnih institucija da pruže visokokvalitetno, inkluzivno digitalno</w:t>
      </w:r>
      <w:r>
        <w:t xml:space="preserve"> obrazovanje u kulinarstvu, prilagođeno standardima rada nakon COVID19. Projektom će se razviti 4 pilot tečaja za virtualnu praktičnu nastavu, protokol i vodič za mentore i nastavnike o provođenju mrežnih virtualnih tečajeva koji obuhvaćaju praktični dio n</w:t>
      </w:r>
      <w:r>
        <w:t xml:space="preserve">astave. Predviđena je edukacija u zemlji nositeljici projekta u trajanju od 3 dana u svrhu aktivnosti učenja i poučavanja.  </w:t>
      </w:r>
    </w:p>
    <w:p w:rsidR="009520A9" w:rsidRDefault="00770482">
      <w:r>
        <w:t>Projekt VET@HOME završava 31. listopada 2023., preostala sredstava biti će isplaćena u 2024. godini nakon predaje godišnjeg te zavr</w:t>
      </w:r>
      <w:r>
        <w:t xml:space="preserve">šnog izvješća za sve aktivnost u projektu.  </w:t>
      </w:r>
    </w:p>
    <w:p w:rsidR="009520A9" w:rsidRDefault="00770482">
      <w:r>
        <w:t xml:space="preserve">Cilj projekta Erasmus+ 2BDIGITAL je podržati nastavnike u SOO-u da pruže potpuno on-line i digitalni itinerar koji osigurava razvoj emocionalnih i transverzalnih kompetencija učenika kojima prijeti odustajanje, </w:t>
      </w:r>
      <w:r>
        <w:t>kako bi se povećao angažman tih učenika u sve dinamičnijem i digitalnom obrazovnom sustavu, na tržištu rada i u društvu. Projektom će se razviti zajednički okvir transverzalnih kompetencija, mrežna metodologija za učenje i poučavanje u digitalnom svijetu z</w:t>
      </w:r>
      <w:r>
        <w:t xml:space="preserve">a SOO i alat za samoprocjenu stečenih vještina.   </w:t>
      </w:r>
    </w:p>
    <w:p w:rsidR="009520A9" w:rsidRDefault="00770482">
      <w:r>
        <w:t xml:space="preserve">Ovdje su uključeni rashodi za zaposlene i to  plaće i pripadajući doprinosi te ostali rashodi za zaposlene i prijevoz.  </w:t>
      </w:r>
    </w:p>
    <w:p w:rsidR="009520A9" w:rsidRDefault="00770482">
      <w:r>
        <w:t>Agencija je provela 4 ciklusa projekta EPALE 2019. - 31.3.2022., dok je trenutno u t</w:t>
      </w:r>
      <w:r>
        <w:t xml:space="preserve">ijeku 5. ciklus. Temeljem izravnoga poziva Europske komisije Ministarstvo znanosti i obrazovanja imenovalo je Agenciju za strukovno obrazovanje i obrazovanje odraslih nositeljem projekta EPALE, odnosno Nacionalnom službom podrške (National support service </w:t>
      </w:r>
      <w:r>
        <w:t>- NSS). Trajanje projekta je 33 mjeseca (od 1. travnja 2022. godine do 31. prosinca 2024. godine). EPALE je razvijen kako bi postao referentnom točkom obrazovanja odraslih u Europi te bi trebao postati ključnim izvorom informacija u radu sa svim stručnjaci</w:t>
      </w:r>
      <w:r>
        <w:t>ma u ovome području. Prioriteti za 2024. uključuju razvoj korisnih i relevantnih sadržaja te zasnivati na promociji platforme EPALE i motivaciji potencijalnih korisnika, promocija  platforme kroz promotivne događaje, izradu newslettera te suradnju s drugim</w:t>
      </w:r>
      <w:r>
        <w:t xml:space="preserve"> zemljama.  </w:t>
      </w:r>
    </w:p>
    <w:p w:rsidR="009520A9" w:rsidRDefault="00770482">
      <w:r>
        <w:t>Agencija za strukovno obrazovanje i obrazovanje odraslih od 2023. godine sudjeluje kao zemlja partner u provedbi projekta Partner Up. Projekt PARTNER UP  namjerava imati sustavni utjecaj na provedbu oblika usavršavanja razvijanjem novih mehani</w:t>
      </w:r>
      <w:r>
        <w:t>zama suradnje. Cilj projekta je razmjena iskustava s drugim partnerima o tome što dobro funkcionira u njihovim zemljama, analiza postojećih mehanizama suradnje, organizirati sastanke relevantnih dionika i dogovoriti suradnju, razviti planove provedbe za da</w:t>
      </w:r>
      <w:r>
        <w:t>ljnji angažman te podijeliti iskustva i rezultate projekta s relevantnim institucijama i organizacijama na nacionalnoj i europskoj razini. Nositelj projekta je Europsko udruženje za obrazovanje odraslih (EAEA) organizacija čija je svrha povezati i predstav</w:t>
      </w:r>
      <w:r>
        <w:t>ljati europske organizacije koje su izravno uključene u učenje odraslih.</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škola uključenih u drugu fazu pilota praćenja učenika nakon završetka školovanja</w:t>
            </w:r>
          </w:p>
        </w:tc>
        <w:tc>
          <w:tcPr>
            <w:tcW w:w="2245" w:type="dxa"/>
            <w:vAlign w:val="top"/>
          </w:tcPr>
          <w:p w:rsidR="009520A9" w:rsidRDefault="00770482">
            <w:pPr>
              <w:pStyle w:val="CellColumn"/>
              <w:jc w:val="left"/>
            </w:pPr>
            <w:r>
              <w:rPr>
                <w:rFonts w:cs="Times New Roman"/>
              </w:rPr>
              <w:t>Doprinos razvoju sustava praćenja osoba s kvalifikacijom u skladu s europskim i nacionalnim zahtjevima</w:t>
            </w:r>
          </w:p>
        </w:tc>
        <w:tc>
          <w:tcPr>
            <w:tcW w:w="918" w:type="dxa"/>
          </w:tcPr>
          <w:p w:rsidR="009520A9" w:rsidRDefault="00770482">
            <w:pPr>
              <w:jc w:val="center"/>
            </w:pPr>
            <w:r>
              <w:t>Broj</w:t>
            </w:r>
          </w:p>
        </w:tc>
        <w:tc>
          <w:tcPr>
            <w:tcW w:w="918" w:type="dxa"/>
          </w:tcPr>
          <w:p w:rsidR="009520A9" w:rsidRDefault="00770482">
            <w:pPr>
              <w:jc w:val="center"/>
            </w:pPr>
            <w:r>
              <w:t>15</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25</w:t>
            </w:r>
          </w:p>
        </w:tc>
        <w:tc>
          <w:tcPr>
            <w:tcW w:w="918" w:type="dxa"/>
          </w:tcPr>
          <w:p w:rsidR="009520A9" w:rsidRDefault="00770482">
            <w:pPr>
              <w:jc w:val="center"/>
            </w:pPr>
            <w:r>
              <w:t>30</w:t>
            </w:r>
          </w:p>
        </w:tc>
        <w:tc>
          <w:tcPr>
            <w:tcW w:w="918" w:type="dxa"/>
          </w:tcPr>
          <w:p w:rsidR="009520A9" w:rsidRDefault="00770482">
            <w:pPr>
              <w:jc w:val="center"/>
            </w:pPr>
            <w:r>
              <w:t>35</w:t>
            </w:r>
          </w:p>
        </w:tc>
      </w:tr>
      <w:tr w:rsidR="009520A9">
        <w:trPr>
          <w:jc w:val="center"/>
        </w:trPr>
        <w:tc>
          <w:tcPr>
            <w:tcW w:w="2245" w:type="dxa"/>
            <w:vAlign w:val="top"/>
          </w:tcPr>
          <w:p w:rsidR="009520A9" w:rsidRDefault="00770482">
            <w:pPr>
              <w:pStyle w:val="CellColumn"/>
              <w:jc w:val="left"/>
            </w:pPr>
            <w:r>
              <w:rPr>
                <w:rFonts w:cs="Times New Roman"/>
              </w:rPr>
              <w:t>Broj konferencija o kvaliteti</w:t>
            </w:r>
          </w:p>
        </w:tc>
        <w:tc>
          <w:tcPr>
            <w:tcW w:w="2245" w:type="dxa"/>
            <w:vAlign w:val="top"/>
          </w:tcPr>
          <w:p w:rsidR="009520A9" w:rsidRDefault="00770482">
            <w:pPr>
              <w:pStyle w:val="CellColumn"/>
              <w:jc w:val="left"/>
            </w:pPr>
            <w:r>
              <w:rPr>
                <w:rFonts w:cs="Times New Roman"/>
              </w:rPr>
              <w:t>U okviru provedbe organizira se godišnja nacionalna konferencija o kvaliteti strukovnog obrazovanja</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r w:rsidR="009520A9">
        <w:trPr>
          <w:jc w:val="center"/>
        </w:trPr>
        <w:tc>
          <w:tcPr>
            <w:tcW w:w="2245" w:type="dxa"/>
            <w:vAlign w:val="top"/>
          </w:tcPr>
          <w:p w:rsidR="009520A9" w:rsidRDefault="00770482">
            <w:pPr>
              <w:pStyle w:val="CellColumn"/>
              <w:jc w:val="left"/>
            </w:pPr>
            <w:r>
              <w:rPr>
                <w:rFonts w:cs="Times New Roman"/>
              </w:rPr>
              <w:t>Broj izrađenih dokumenata nastalih provedbom projekta, broj izrađenih virtualnih sadržaja</w:t>
            </w:r>
          </w:p>
        </w:tc>
        <w:tc>
          <w:tcPr>
            <w:tcW w:w="2245" w:type="dxa"/>
            <w:vAlign w:val="top"/>
          </w:tcPr>
          <w:p w:rsidR="009520A9" w:rsidRDefault="00770482">
            <w:pPr>
              <w:pStyle w:val="CellColumn"/>
              <w:jc w:val="left"/>
            </w:pPr>
            <w:r>
              <w:rPr>
                <w:rFonts w:cs="Times New Roman"/>
              </w:rPr>
              <w:t>U okviru provedbe izrađuju se različiti dokumenti (izvještaji, upitnici,okviri), izrada virtualnog tečaja, izrada platforme za učenje i poučavanje</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3</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izrađenih dokumenata nastalih provedbom projekta, broj izrađenih virtualnih sadržaja</w:t>
            </w:r>
          </w:p>
        </w:tc>
        <w:tc>
          <w:tcPr>
            <w:tcW w:w="2245" w:type="dxa"/>
            <w:vAlign w:val="top"/>
          </w:tcPr>
          <w:p w:rsidR="009520A9" w:rsidRDefault="00770482">
            <w:pPr>
              <w:pStyle w:val="CellColumn"/>
              <w:jc w:val="left"/>
            </w:pPr>
            <w:r>
              <w:rPr>
                <w:rFonts w:cs="Times New Roman"/>
              </w:rPr>
              <w:t>U okviru provedbe izrađuju se različiti dokumenti (izvještaji, upitnici,okviri), izrada silabusa virtualnog tečaja, izrada platforme za učenje i poučavanje</w:t>
            </w:r>
          </w:p>
        </w:tc>
        <w:tc>
          <w:tcPr>
            <w:tcW w:w="918" w:type="dxa"/>
          </w:tcPr>
          <w:p w:rsidR="009520A9" w:rsidRDefault="00770482">
            <w:pPr>
              <w:jc w:val="center"/>
            </w:pPr>
            <w:r>
              <w:t>Broj</w:t>
            </w:r>
          </w:p>
        </w:tc>
        <w:tc>
          <w:tcPr>
            <w:tcW w:w="918" w:type="dxa"/>
          </w:tcPr>
          <w:p w:rsidR="009520A9" w:rsidRDefault="00770482">
            <w:pPr>
              <w:jc w:val="center"/>
            </w:pPr>
            <w:r>
              <w:t>5</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0</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izrađenih dokumenata nastalih provedbom projekta, broj izrađenih virtualnih sadržaja</w:t>
            </w:r>
          </w:p>
        </w:tc>
        <w:tc>
          <w:tcPr>
            <w:tcW w:w="2245" w:type="dxa"/>
            <w:vAlign w:val="top"/>
          </w:tcPr>
          <w:p w:rsidR="009520A9" w:rsidRDefault="00770482">
            <w:pPr>
              <w:pStyle w:val="CellColumn"/>
              <w:jc w:val="left"/>
            </w:pPr>
            <w:r>
              <w:rPr>
                <w:rFonts w:cs="Times New Roman"/>
              </w:rPr>
              <w:t>U okviru provedbe izrađuju se različiti dokumenti (izvještaji, upitnici, okviri), dizajn pilot programa u okviru projekta, izrada i pilotiranje metodologije, peer rev</w:t>
            </w:r>
            <w:r>
              <w:rPr>
                <w:rFonts w:cs="Times New Roman"/>
              </w:rPr>
              <w:t>iew</w:t>
            </w:r>
          </w:p>
        </w:tc>
        <w:tc>
          <w:tcPr>
            <w:tcW w:w="918" w:type="dxa"/>
          </w:tcPr>
          <w:p w:rsidR="009520A9" w:rsidRDefault="00770482">
            <w:pPr>
              <w:jc w:val="center"/>
            </w:pPr>
            <w:r>
              <w:t>Broj</w:t>
            </w:r>
          </w:p>
        </w:tc>
        <w:tc>
          <w:tcPr>
            <w:tcW w:w="918" w:type="dxa"/>
          </w:tcPr>
          <w:p w:rsidR="009520A9" w:rsidRDefault="00770482">
            <w:pPr>
              <w:jc w:val="center"/>
            </w:pPr>
            <w:r>
              <w:t>6</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6</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EPALE promotivnih događanja</w:t>
            </w:r>
          </w:p>
        </w:tc>
        <w:tc>
          <w:tcPr>
            <w:tcW w:w="2245" w:type="dxa"/>
            <w:vAlign w:val="top"/>
          </w:tcPr>
          <w:p w:rsidR="009520A9" w:rsidRDefault="00770482">
            <w:pPr>
              <w:pStyle w:val="CellColumn"/>
              <w:jc w:val="left"/>
            </w:pPr>
            <w:r>
              <w:rPr>
                <w:rFonts w:cs="Times New Roman"/>
              </w:rPr>
              <w:t>U sklopu projekta organizirat će se događanja fokusirana na motiviranje potencijalnih korisnika za priključivanjem platformi EPALE. Događanja će biti koncipirana na način da omoguće potencijalnim kori</w:t>
            </w:r>
            <w:r>
              <w:rPr>
                <w:rFonts w:cs="Times New Roman"/>
              </w:rPr>
              <w:t>snicima iz cijele Hrvatske da se upoznaje s platformom te će se stoga provoditi na regionalnoj razini i putem online platforme.</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10</w:t>
            </w:r>
          </w:p>
        </w:tc>
        <w:tc>
          <w:tcPr>
            <w:tcW w:w="918" w:type="dxa"/>
          </w:tcPr>
          <w:p w:rsidR="009520A9" w:rsidRDefault="00770482">
            <w:pPr>
              <w:jc w:val="center"/>
            </w:pPr>
            <w:r>
              <w:t>10</w:t>
            </w:r>
          </w:p>
        </w:tc>
        <w:tc>
          <w:tcPr>
            <w:tcW w:w="918" w:type="dxa"/>
          </w:tcPr>
          <w:p w:rsidR="009520A9" w:rsidRDefault="00770482">
            <w:pPr>
              <w:jc w:val="center"/>
            </w:pPr>
            <w:r>
              <w:t>0</w:t>
            </w:r>
          </w:p>
        </w:tc>
      </w:tr>
    </w:tbl>
    <w:p w:rsidR="009520A9" w:rsidRDefault="009520A9">
      <w:pPr>
        <w:jc w:val="left"/>
      </w:pPr>
    </w:p>
    <w:p w:rsidR="009520A9" w:rsidRDefault="00770482">
      <w:pPr>
        <w:pStyle w:val="Heading4"/>
      </w:pPr>
      <w:r>
        <w:t>K848049 PROGRAM UČINKOVITI LJUDSKI POTENCIJALI 2021.-2027., PRIORITET 5 - TEHNIČKA POMOĆ</w:t>
      </w:r>
    </w:p>
    <w:p w:rsidR="009520A9" w:rsidRDefault="00770482">
      <w:pPr>
        <w:pStyle w:val="Heading8"/>
        <w:jc w:val="left"/>
      </w:pPr>
      <w:r>
        <w:t>Zakonske i druge pravne osnove</w:t>
      </w:r>
    </w:p>
    <w:p w:rsidR="009520A9" w:rsidRDefault="00770482">
      <w:r>
        <w:t>Uredbom Vlade Republike Hrvatske (NN 96/2022) o tijelima u sustavu upravljanja i kontrole korištenja Europskog socijalnog fonda u vezi s ciljem ''Ulaganja u radna mjesta i rast'', u okviru Programa Učinkoviti ljudski pokazate</w:t>
      </w:r>
      <w:r>
        <w:t>lji 2021. – 2027.  određuje se Agencija za strukovno obrazovanje i obrazovanje odraslih kao Posredničko tijelo druge razine za  provedbu specifičnih ciljeva 2 e, f i g prioritetne osi 2 - Obrazovanje i cjeloživotno učenje te cilja 5f prioritetne osi 5 .- Z</w:t>
      </w:r>
      <w:r>
        <w:t xml:space="preserve">apošljavanje mladih. Na temelju Zakona o uspostavi institucionalnog okvira za provedbu europskih strukturnih i investicijskih fondova u Republici Hrvatskoj u financijskom razdoblju 2014. – 2020. (NN, br. 92/14.) i Uredbe o tijelima u sustavima upravljanja </w:t>
      </w:r>
      <w:r>
        <w:t>i kontrole korištenja Europskog socijalnog fonda, Europskog fonda za regionalni razvoj i Kohezijskog fonda, u vezi s ciljem „Ulaganje u rast i radna mjesta“ (NN, br. 107/14., 23/15., 15/17. i 18/17.) Agencija je i Posredničko tijelo druge razine za provedb</w:t>
      </w:r>
      <w:r>
        <w:t>u izabranih investicijskih prioriteta Operativnoga programa „Učinkoviti ljudski potencijali 2014. – 2020.“ za: Prioritetnu os 1 „Visoka zapošljivost i mobilnost radne snage“, Specifični cilj 8.ii.1 (YEI) „Povećanje zapošljavanja i brze integracije NEET sku</w:t>
      </w:r>
      <w:r>
        <w:t>pine kroz Inicijativu za zapošljavanje mladih na tržište rada“;  te Prioritetnu os 3 „Obrazovanje i cjeloživotno učenje“, sa svim specifičnim ciljevima unutar svih investicijskih prioriteta.</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K848049</w:t>
            </w:r>
          </w:p>
        </w:tc>
        <w:tc>
          <w:tcPr>
            <w:tcW w:w="1632" w:type="dxa"/>
            <w:vAlign w:val="top"/>
          </w:tcPr>
          <w:p w:rsidR="009520A9" w:rsidRDefault="00770482">
            <w:pPr>
              <w:jc w:val="right"/>
            </w:pPr>
            <w:r>
              <w:t>00</w:t>
            </w:r>
          </w:p>
        </w:tc>
        <w:tc>
          <w:tcPr>
            <w:tcW w:w="1632" w:type="dxa"/>
            <w:vAlign w:val="top"/>
          </w:tcPr>
          <w:p w:rsidR="009520A9" w:rsidRDefault="00770482">
            <w:pPr>
              <w:jc w:val="right"/>
            </w:pPr>
            <w:r>
              <w:t>449.393</w:t>
            </w:r>
          </w:p>
        </w:tc>
        <w:tc>
          <w:tcPr>
            <w:tcW w:w="1632" w:type="dxa"/>
            <w:vAlign w:val="top"/>
          </w:tcPr>
          <w:p w:rsidR="009520A9" w:rsidRDefault="00770482">
            <w:pPr>
              <w:jc w:val="right"/>
            </w:pPr>
            <w:r>
              <w:t>3.486.005</w:t>
            </w:r>
          </w:p>
        </w:tc>
        <w:tc>
          <w:tcPr>
            <w:tcW w:w="1632" w:type="dxa"/>
            <w:vAlign w:val="top"/>
          </w:tcPr>
          <w:p w:rsidR="009520A9" w:rsidRDefault="00770482">
            <w:pPr>
              <w:jc w:val="right"/>
            </w:pPr>
            <w:r>
              <w:t>3.467.305</w:t>
            </w:r>
          </w:p>
        </w:tc>
        <w:tc>
          <w:tcPr>
            <w:tcW w:w="1632" w:type="dxa"/>
            <w:vAlign w:val="top"/>
          </w:tcPr>
          <w:p w:rsidR="009520A9" w:rsidRDefault="00770482">
            <w:pPr>
              <w:jc w:val="right"/>
            </w:pPr>
            <w:r>
              <w:t>3.467.305</w:t>
            </w:r>
          </w:p>
        </w:tc>
        <w:tc>
          <w:tcPr>
            <w:tcW w:w="510" w:type="dxa"/>
            <w:vAlign w:val="top"/>
          </w:tcPr>
          <w:p w:rsidR="009520A9" w:rsidRDefault="00770482">
            <w:pPr>
              <w:jc w:val="right"/>
            </w:pPr>
            <w:r>
              <w:t>775,7</w:t>
            </w:r>
          </w:p>
        </w:tc>
      </w:tr>
    </w:tbl>
    <w:p w:rsidR="009520A9" w:rsidRDefault="009520A9">
      <w:pPr>
        <w:jc w:val="left"/>
      </w:pPr>
    </w:p>
    <w:p w:rsidR="009520A9" w:rsidRDefault="00770482">
      <w:r>
        <w:t>Programsko razdoblje 2014. - 2020. u djelokrugu provedbe projekata završava u prosincu 2023. godine, međutim u djelokrugu kontrola kao aktivnosti na Programu za koje je Agencija nadležna se nastavljaju provoditi kontinuirano do lipnja 2024. godine i parale</w:t>
      </w:r>
      <w:r>
        <w:t xml:space="preserve">lno s programskim razdobljem 2021. – 2027.   </w:t>
      </w:r>
    </w:p>
    <w:p w:rsidR="009520A9" w:rsidRDefault="00770482">
      <w:r>
        <w:t>Planirana sredstva osiguravaju se za provedbu svih aktivnosti Posredničkog tijela druge razine koje su neophodne za obavljanje poslova praćenja provedbe projekata u provedbi iz razdoblja 2014.-2020. (30 Korisnika) koje će trajati do lipnja 2024. godine, ka</w:t>
      </w:r>
      <w:r>
        <w:t>o i za sve aktivnosti započete u djelokrugu pripreme i provedbe natječaja te praćenja izvršenja Ugovora sklopljenih s Korisnicima novog Fonda, ESF+. Nastavak ovih aktivnosti planira se kontinuirano za 2024. godinu kao i za predviđene projekcije tokom 2025.</w:t>
      </w:r>
      <w:r>
        <w:t xml:space="preserve"> i 2026. godine. Aktivnosti iz razdoblja 2021. -2027. planiraju se shodno dinamici koju diktira Godišnji plan objave poziva na dostavu projektnih prijedloga za ESF+. Aktivnosti predviđaju sve oblike podrške korisnicima, pripremu i provedbu natječajnih post</w:t>
      </w:r>
      <w:r>
        <w:t>upaka, praćenja ugovornih obveza s korisnicima, terenske provjere i posjete, organizaciju radionica za korisnike, upravljanje revizijama, rizicima i nepravilnostima, te jačanje kapaciteta PT2 kroz zapošljavanja te usavršavanja i edukacije radnika.</w:t>
      </w:r>
    </w:p>
    <w:p w:rsidR="009520A9" w:rsidRDefault="00770482">
      <w:pPr>
        <w:pStyle w:val="Heading8"/>
        <w:jc w:val="left"/>
      </w:pPr>
      <w:r>
        <w:t>Pokazate</w:t>
      </w:r>
      <w:r>
        <w:t>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pripremljenih natječajnih dokumentacija</w:t>
            </w:r>
          </w:p>
        </w:tc>
        <w:tc>
          <w:tcPr>
            <w:tcW w:w="2245" w:type="dxa"/>
            <w:vAlign w:val="top"/>
          </w:tcPr>
          <w:p w:rsidR="009520A9" w:rsidRDefault="00770482">
            <w:pPr>
              <w:pStyle w:val="CellColumn"/>
              <w:jc w:val="left"/>
            </w:pPr>
            <w:r>
              <w:rPr>
                <w:rFonts w:cs="Times New Roman"/>
              </w:rPr>
              <w:t>Priprema natječajne dokumentacije za sve</w:t>
            </w:r>
            <w:r>
              <w:rPr>
                <w:rFonts w:cs="Times New Roman"/>
              </w:rPr>
              <w:t xml:space="preserve"> vrste postupaka dodjele u suradnji s PT1</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ASOO DEFCO</w:t>
            </w:r>
          </w:p>
        </w:tc>
        <w:tc>
          <w:tcPr>
            <w:tcW w:w="918" w:type="dxa"/>
          </w:tcPr>
          <w:p w:rsidR="009520A9" w:rsidRDefault="00770482">
            <w:pPr>
              <w:jc w:val="center"/>
            </w:pPr>
            <w:r>
              <w:t>10</w:t>
            </w:r>
          </w:p>
        </w:tc>
        <w:tc>
          <w:tcPr>
            <w:tcW w:w="918" w:type="dxa"/>
          </w:tcPr>
          <w:p w:rsidR="009520A9" w:rsidRDefault="00770482">
            <w:pPr>
              <w:jc w:val="center"/>
            </w:pPr>
            <w:r>
              <w:t>12</w:t>
            </w:r>
          </w:p>
        </w:tc>
        <w:tc>
          <w:tcPr>
            <w:tcW w:w="918" w:type="dxa"/>
          </w:tcPr>
          <w:p w:rsidR="009520A9" w:rsidRDefault="00770482">
            <w:pPr>
              <w:jc w:val="center"/>
            </w:pPr>
            <w:r>
              <w:t>8</w:t>
            </w:r>
          </w:p>
        </w:tc>
      </w:tr>
      <w:tr w:rsidR="009520A9">
        <w:trPr>
          <w:jc w:val="center"/>
        </w:trPr>
        <w:tc>
          <w:tcPr>
            <w:tcW w:w="2245" w:type="dxa"/>
            <w:vAlign w:val="top"/>
          </w:tcPr>
          <w:p w:rsidR="009520A9" w:rsidRDefault="00770482">
            <w:pPr>
              <w:pStyle w:val="CellColumn"/>
              <w:jc w:val="left"/>
            </w:pPr>
            <w:r>
              <w:rPr>
                <w:rFonts w:cs="Times New Roman"/>
              </w:rPr>
              <w:t>Broj održanih radionica</w:t>
            </w:r>
          </w:p>
        </w:tc>
        <w:tc>
          <w:tcPr>
            <w:tcW w:w="2245" w:type="dxa"/>
            <w:vAlign w:val="top"/>
          </w:tcPr>
          <w:p w:rsidR="009520A9" w:rsidRDefault="00770482">
            <w:pPr>
              <w:pStyle w:val="CellColumn"/>
              <w:jc w:val="left"/>
            </w:pPr>
            <w:r>
              <w:rPr>
                <w:rFonts w:cs="Times New Roman"/>
              </w:rPr>
              <w:t>Održavanje radionica i radnih sastanaka s  korisnicima sredstava u svrhu pružanja podrške i informacija za pripremu i provedbu projekata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 DEFCO</w:t>
            </w:r>
          </w:p>
        </w:tc>
        <w:tc>
          <w:tcPr>
            <w:tcW w:w="918" w:type="dxa"/>
          </w:tcPr>
          <w:p w:rsidR="009520A9" w:rsidRDefault="00770482">
            <w:pPr>
              <w:jc w:val="center"/>
            </w:pPr>
            <w:r>
              <w:t>10</w:t>
            </w:r>
          </w:p>
        </w:tc>
        <w:tc>
          <w:tcPr>
            <w:tcW w:w="918" w:type="dxa"/>
          </w:tcPr>
          <w:p w:rsidR="009520A9" w:rsidRDefault="00770482">
            <w:pPr>
              <w:jc w:val="center"/>
            </w:pPr>
            <w:r>
              <w:t>12</w:t>
            </w:r>
          </w:p>
        </w:tc>
        <w:tc>
          <w:tcPr>
            <w:tcW w:w="918" w:type="dxa"/>
          </w:tcPr>
          <w:p w:rsidR="009520A9" w:rsidRDefault="00770482">
            <w:pPr>
              <w:jc w:val="center"/>
            </w:pPr>
            <w:r>
              <w:t>8</w:t>
            </w:r>
          </w:p>
        </w:tc>
      </w:tr>
      <w:tr w:rsidR="009520A9">
        <w:trPr>
          <w:jc w:val="center"/>
        </w:trPr>
        <w:tc>
          <w:tcPr>
            <w:tcW w:w="2245" w:type="dxa"/>
            <w:vAlign w:val="top"/>
          </w:tcPr>
          <w:p w:rsidR="009520A9" w:rsidRDefault="00770482">
            <w:pPr>
              <w:pStyle w:val="CellColumn"/>
              <w:jc w:val="left"/>
            </w:pPr>
            <w:r>
              <w:rPr>
                <w:rFonts w:cs="Times New Roman"/>
              </w:rPr>
              <w:t>Broj sklopljenih ugovora s korisnicima</w:t>
            </w:r>
          </w:p>
        </w:tc>
        <w:tc>
          <w:tcPr>
            <w:tcW w:w="2245" w:type="dxa"/>
            <w:vAlign w:val="top"/>
          </w:tcPr>
          <w:p w:rsidR="009520A9" w:rsidRDefault="00770482">
            <w:pPr>
              <w:pStyle w:val="CellColumn"/>
              <w:jc w:val="left"/>
            </w:pPr>
            <w:r>
              <w:rPr>
                <w:rFonts w:cs="Times New Roman"/>
              </w:rPr>
              <w:t>Broj provedenih postupaka, pripremljenih i sklopljenih ugovora s korisnicima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 DEFCO</w:t>
            </w:r>
          </w:p>
        </w:tc>
        <w:tc>
          <w:tcPr>
            <w:tcW w:w="918" w:type="dxa"/>
          </w:tcPr>
          <w:p w:rsidR="009520A9" w:rsidRDefault="00770482">
            <w:pPr>
              <w:jc w:val="center"/>
            </w:pPr>
            <w:r>
              <w:t>106</w:t>
            </w:r>
          </w:p>
        </w:tc>
        <w:tc>
          <w:tcPr>
            <w:tcW w:w="918" w:type="dxa"/>
          </w:tcPr>
          <w:p w:rsidR="009520A9" w:rsidRDefault="00770482">
            <w:pPr>
              <w:jc w:val="center"/>
            </w:pPr>
            <w:r>
              <w:t>62</w:t>
            </w:r>
          </w:p>
        </w:tc>
        <w:tc>
          <w:tcPr>
            <w:tcW w:w="918" w:type="dxa"/>
          </w:tcPr>
          <w:p w:rsidR="009520A9" w:rsidRDefault="00770482">
            <w:pPr>
              <w:jc w:val="center"/>
            </w:pPr>
            <w:r>
              <w:t>44</w:t>
            </w:r>
          </w:p>
        </w:tc>
      </w:tr>
      <w:tr w:rsidR="009520A9">
        <w:trPr>
          <w:jc w:val="center"/>
        </w:trPr>
        <w:tc>
          <w:tcPr>
            <w:tcW w:w="2245" w:type="dxa"/>
            <w:vAlign w:val="top"/>
          </w:tcPr>
          <w:p w:rsidR="009520A9" w:rsidRDefault="00770482">
            <w:pPr>
              <w:pStyle w:val="CellColumn"/>
              <w:jc w:val="left"/>
            </w:pPr>
            <w:r>
              <w:rPr>
                <w:rFonts w:cs="Times New Roman"/>
              </w:rPr>
              <w:t>Broj odobrenih zahtjeva za nadoknadom sredstava</w:t>
            </w:r>
          </w:p>
        </w:tc>
        <w:tc>
          <w:tcPr>
            <w:tcW w:w="2245" w:type="dxa"/>
            <w:vAlign w:val="top"/>
          </w:tcPr>
          <w:p w:rsidR="009520A9" w:rsidRDefault="00770482">
            <w:pPr>
              <w:pStyle w:val="CellColumn"/>
              <w:jc w:val="left"/>
            </w:pPr>
            <w:r>
              <w:rPr>
                <w:rFonts w:cs="Times New Roman"/>
              </w:rPr>
              <w:t>Broj provjerenih  i odobrenih zahtjeva za nadoknadom sredstava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 DEFCO</w:t>
            </w:r>
          </w:p>
        </w:tc>
        <w:tc>
          <w:tcPr>
            <w:tcW w:w="918" w:type="dxa"/>
          </w:tcPr>
          <w:p w:rsidR="009520A9" w:rsidRDefault="00770482">
            <w:pPr>
              <w:jc w:val="center"/>
            </w:pPr>
            <w:r>
              <w:t>157</w:t>
            </w:r>
          </w:p>
        </w:tc>
        <w:tc>
          <w:tcPr>
            <w:tcW w:w="918" w:type="dxa"/>
          </w:tcPr>
          <w:p w:rsidR="009520A9" w:rsidRDefault="00770482">
            <w:pPr>
              <w:jc w:val="center"/>
            </w:pPr>
            <w:r>
              <w:t>319</w:t>
            </w:r>
          </w:p>
        </w:tc>
        <w:tc>
          <w:tcPr>
            <w:tcW w:w="918" w:type="dxa"/>
          </w:tcPr>
          <w:p w:rsidR="009520A9" w:rsidRDefault="00770482">
            <w:pPr>
              <w:jc w:val="center"/>
            </w:pPr>
            <w:r>
              <w:t>420</w:t>
            </w:r>
          </w:p>
        </w:tc>
      </w:tr>
      <w:tr w:rsidR="009520A9">
        <w:trPr>
          <w:jc w:val="center"/>
        </w:trPr>
        <w:tc>
          <w:tcPr>
            <w:tcW w:w="2245" w:type="dxa"/>
            <w:vAlign w:val="top"/>
          </w:tcPr>
          <w:p w:rsidR="009520A9" w:rsidRDefault="00770482">
            <w:pPr>
              <w:pStyle w:val="CellColumn"/>
              <w:jc w:val="left"/>
            </w:pPr>
            <w:r>
              <w:rPr>
                <w:rFonts w:cs="Times New Roman"/>
              </w:rPr>
              <w:t>Broj odobrenih završnih izvješća i završnih zahtjeva za nadoknadom sredstava</w:t>
            </w:r>
          </w:p>
        </w:tc>
        <w:tc>
          <w:tcPr>
            <w:tcW w:w="2245" w:type="dxa"/>
            <w:vAlign w:val="top"/>
          </w:tcPr>
          <w:p w:rsidR="009520A9" w:rsidRDefault="00770482">
            <w:pPr>
              <w:pStyle w:val="CellColumn"/>
              <w:jc w:val="left"/>
            </w:pPr>
            <w:r>
              <w:rPr>
                <w:rFonts w:cs="Times New Roman"/>
              </w:rPr>
              <w:t>Broj provjerenih i odobrenih završnih izvješća i završnih zahtjeva za nadoknadom sredstava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 DEFCO</w:t>
            </w:r>
          </w:p>
        </w:tc>
        <w:tc>
          <w:tcPr>
            <w:tcW w:w="918" w:type="dxa"/>
          </w:tcPr>
          <w:p w:rsidR="009520A9" w:rsidRDefault="00770482">
            <w:pPr>
              <w:jc w:val="center"/>
            </w:pPr>
            <w:r>
              <w:t>29</w:t>
            </w:r>
          </w:p>
        </w:tc>
        <w:tc>
          <w:tcPr>
            <w:tcW w:w="918" w:type="dxa"/>
          </w:tcPr>
          <w:p w:rsidR="009520A9" w:rsidRDefault="00770482">
            <w:pPr>
              <w:jc w:val="center"/>
            </w:pPr>
            <w:r>
              <w:t>118</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izdanih ex -ante mišljenja na dokumentaciju o javnoj nabavi korisnika</w:t>
            </w:r>
          </w:p>
        </w:tc>
        <w:tc>
          <w:tcPr>
            <w:tcW w:w="2245" w:type="dxa"/>
            <w:vAlign w:val="top"/>
          </w:tcPr>
          <w:p w:rsidR="009520A9" w:rsidRDefault="00770482">
            <w:pPr>
              <w:pStyle w:val="CellColumn"/>
              <w:jc w:val="left"/>
            </w:pPr>
            <w:r>
              <w:rPr>
                <w:rFonts w:cs="Times New Roman"/>
              </w:rPr>
              <w:t>Broj pregledane dokumentacije i izdanih prethodnih  mišljenja na dokumentaciju o nabavi korisnika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 DEFCO</w:t>
            </w:r>
          </w:p>
        </w:tc>
        <w:tc>
          <w:tcPr>
            <w:tcW w:w="918" w:type="dxa"/>
          </w:tcPr>
          <w:p w:rsidR="009520A9" w:rsidRDefault="00770482">
            <w:pPr>
              <w:jc w:val="center"/>
            </w:pPr>
            <w:r>
              <w:t>10</w:t>
            </w:r>
          </w:p>
        </w:tc>
        <w:tc>
          <w:tcPr>
            <w:tcW w:w="918" w:type="dxa"/>
          </w:tcPr>
          <w:p w:rsidR="009520A9" w:rsidRDefault="00770482">
            <w:pPr>
              <w:jc w:val="center"/>
            </w:pPr>
            <w:r>
              <w:t>25</w:t>
            </w:r>
          </w:p>
        </w:tc>
        <w:tc>
          <w:tcPr>
            <w:tcW w:w="918" w:type="dxa"/>
          </w:tcPr>
          <w:p w:rsidR="009520A9" w:rsidRDefault="00770482">
            <w:pPr>
              <w:jc w:val="center"/>
            </w:pPr>
            <w:r>
              <w:t>45</w:t>
            </w:r>
          </w:p>
        </w:tc>
      </w:tr>
      <w:tr w:rsidR="009520A9">
        <w:trPr>
          <w:jc w:val="center"/>
        </w:trPr>
        <w:tc>
          <w:tcPr>
            <w:tcW w:w="2245" w:type="dxa"/>
            <w:vAlign w:val="top"/>
          </w:tcPr>
          <w:p w:rsidR="009520A9" w:rsidRDefault="00770482">
            <w:pPr>
              <w:pStyle w:val="CellColumn"/>
              <w:jc w:val="left"/>
            </w:pPr>
            <w:r>
              <w:rPr>
                <w:rFonts w:cs="Times New Roman"/>
              </w:rPr>
              <w:t>Broj ex post pregledanih javnih nabava korisnika</w:t>
            </w:r>
          </w:p>
        </w:tc>
        <w:tc>
          <w:tcPr>
            <w:tcW w:w="2245" w:type="dxa"/>
            <w:vAlign w:val="top"/>
          </w:tcPr>
          <w:p w:rsidR="009520A9" w:rsidRDefault="00770482">
            <w:pPr>
              <w:pStyle w:val="CellColumn"/>
              <w:jc w:val="left"/>
            </w:pPr>
            <w:r>
              <w:rPr>
                <w:rFonts w:cs="Times New Roman"/>
              </w:rPr>
              <w:t>Broj e</w:t>
            </w:r>
            <w:r>
              <w:rPr>
                <w:rFonts w:cs="Times New Roman"/>
              </w:rPr>
              <w:t>x post pregleda nabava korisnika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 DEFCO</w:t>
            </w:r>
          </w:p>
        </w:tc>
        <w:tc>
          <w:tcPr>
            <w:tcW w:w="918" w:type="dxa"/>
          </w:tcPr>
          <w:p w:rsidR="009520A9" w:rsidRDefault="00770482">
            <w:pPr>
              <w:jc w:val="center"/>
            </w:pPr>
            <w:r>
              <w:t>15</w:t>
            </w:r>
          </w:p>
        </w:tc>
        <w:tc>
          <w:tcPr>
            <w:tcW w:w="918" w:type="dxa"/>
          </w:tcPr>
          <w:p w:rsidR="009520A9" w:rsidRDefault="00770482">
            <w:pPr>
              <w:jc w:val="center"/>
            </w:pPr>
            <w:r>
              <w:t>150</w:t>
            </w:r>
          </w:p>
        </w:tc>
        <w:tc>
          <w:tcPr>
            <w:tcW w:w="918" w:type="dxa"/>
          </w:tcPr>
          <w:p w:rsidR="009520A9" w:rsidRDefault="00770482">
            <w:pPr>
              <w:jc w:val="center"/>
            </w:pPr>
            <w:r>
              <w:t>250</w:t>
            </w:r>
          </w:p>
        </w:tc>
      </w:tr>
      <w:tr w:rsidR="009520A9">
        <w:trPr>
          <w:jc w:val="center"/>
        </w:trPr>
        <w:tc>
          <w:tcPr>
            <w:tcW w:w="2245" w:type="dxa"/>
            <w:vAlign w:val="top"/>
          </w:tcPr>
          <w:p w:rsidR="009520A9" w:rsidRDefault="00770482">
            <w:pPr>
              <w:pStyle w:val="CellColumn"/>
              <w:jc w:val="left"/>
            </w:pPr>
            <w:r>
              <w:rPr>
                <w:rFonts w:cs="Times New Roman"/>
              </w:rPr>
              <w:t>Broj provjera  projekta na licu mjesta</w:t>
            </w:r>
          </w:p>
        </w:tc>
        <w:tc>
          <w:tcPr>
            <w:tcW w:w="2245" w:type="dxa"/>
            <w:vAlign w:val="top"/>
          </w:tcPr>
          <w:p w:rsidR="009520A9" w:rsidRDefault="00770482">
            <w:pPr>
              <w:pStyle w:val="CellColumn"/>
              <w:jc w:val="left"/>
            </w:pPr>
            <w:r>
              <w:rPr>
                <w:rFonts w:cs="Times New Roman"/>
              </w:rPr>
              <w:t>Broj provedenih terenskih provjera  projekta na licu mjesta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 DEFCO</w:t>
            </w:r>
          </w:p>
        </w:tc>
        <w:tc>
          <w:tcPr>
            <w:tcW w:w="918" w:type="dxa"/>
          </w:tcPr>
          <w:p w:rsidR="009520A9" w:rsidRDefault="00770482">
            <w:pPr>
              <w:jc w:val="center"/>
            </w:pPr>
            <w:r>
              <w:t>26</w:t>
            </w:r>
          </w:p>
        </w:tc>
        <w:tc>
          <w:tcPr>
            <w:tcW w:w="918" w:type="dxa"/>
          </w:tcPr>
          <w:p w:rsidR="009520A9" w:rsidRDefault="00770482">
            <w:pPr>
              <w:jc w:val="center"/>
            </w:pPr>
            <w:r>
              <w:t>30</w:t>
            </w:r>
          </w:p>
        </w:tc>
        <w:tc>
          <w:tcPr>
            <w:tcW w:w="918" w:type="dxa"/>
          </w:tcPr>
          <w:p w:rsidR="009520A9" w:rsidRDefault="00770482">
            <w:pPr>
              <w:jc w:val="center"/>
            </w:pPr>
            <w:r>
              <w:t>35</w:t>
            </w:r>
          </w:p>
        </w:tc>
      </w:tr>
    </w:tbl>
    <w:p w:rsidR="009520A9" w:rsidRDefault="009520A9">
      <w:pPr>
        <w:jc w:val="left"/>
      </w:pPr>
    </w:p>
    <w:p w:rsidR="009520A9" w:rsidRDefault="00770482">
      <w:pPr>
        <w:pStyle w:val="Heading4"/>
      </w:pPr>
      <w:r>
        <w:t>K848050 PROGRAM UČINKOVITI LJUDSKI POTENCIJALI 2021.-2027., PRIORITET 3</w:t>
      </w:r>
    </w:p>
    <w:p w:rsidR="009520A9" w:rsidRDefault="00770482">
      <w:pPr>
        <w:pStyle w:val="Heading8"/>
        <w:jc w:val="left"/>
      </w:pPr>
      <w:r>
        <w:t>Zakonske i druge pravne osnove</w:t>
      </w:r>
    </w:p>
    <w:p w:rsidR="009520A9" w:rsidRDefault="00770482">
      <w:r>
        <w:t>Članak 4, stavak 2 Zakona o Agenciji za strukovno obrazovanje i obrazovanje odraslih ; Operativni program Učinkoviti ljudski potencijali 2021.-2027.</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w:t>
            </w:r>
            <w:r>
              <w:rPr>
                <w:rFonts w:cs="Times New Roman"/>
              </w:rPr>
              <w:t>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K848050</w:t>
            </w:r>
          </w:p>
        </w:tc>
        <w:tc>
          <w:tcPr>
            <w:tcW w:w="1632" w:type="dxa"/>
            <w:vAlign w:val="top"/>
          </w:tcPr>
          <w:p w:rsidR="009520A9" w:rsidRDefault="00770482">
            <w:pPr>
              <w:jc w:val="right"/>
            </w:pPr>
            <w:r>
              <w:t>00</w:t>
            </w:r>
          </w:p>
        </w:tc>
        <w:tc>
          <w:tcPr>
            <w:tcW w:w="1632" w:type="dxa"/>
            <w:vAlign w:val="top"/>
          </w:tcPr>
          <w:p w:rsidR="009520A9" w:rsidRDefault="00770482">
            <w:pPr>
              <w:jc w:val="right"/>
            </w:pPr>
            <w:r>
              <w:t>855.538</w:t>
            </w:r>
          </w:p>
        </w:tc>
        <w:tc>
          <w:tcPr>
            <w:tcW w:w="1632" w:type="dxa"/>
            <w:vAlign w:val="top"/>
          </w:tcPr>
          <w:p w:rsidR="009520A9" w:rsidRDefault="00770482">
            <w:pPr>
              <w:jc w:val="right"/>
            </w:pPr>
            <w:r>
              <w:t>6.871.186</w:t>
            </w:r>
          </w:p>
        </w:tc>
        <w:tc>
          <w:tcPr>
            <w:tcW w:w="1632" w:type="dxa"/>
            <w:vAlign w:val="top"/>
          </w:tcPr>
          <w:p w:rsidR="009520A9" w:rsidRDefault="00770482">
            <w:pPr>
              <w:jc w:val="right"/>
            </w:pPr>
            <w:r>
              <w:t>7.371.522</w:t>
            </w:r>
          </w:p>
        </w:tc>
        <w:tc>
          <w:tcPr>
            <w:tcW w:w="1632" w:type="dxa"/>
            <w:vAlign w:val="top"/>
          </w:tcPr>
          <w:p w:rsidR="009520A9" w:rsidRDefault="00770482">
            <w:pPr>
              <w:jc w:val="right"/>
            </w:pPr>
            <w:r>
              <w:t>6.834.022</w:t>
            </w:r>
          </w:p>
        </w:tc>
        <w:tc>
          <w:tcPr>
            <w:tcW w:w="510" w:type="dxa"/>
            <w:vAlign w:val="top"/>
          </w:tcPr>
          <w:p w:rsidR="009520A9" w:rsidRDefault="00770482">
            <w:pPr>
              <w:jc w:val="right"/>
            </w:pPr>
            <w:r>
              <w:t>803,1</w:t>
            </w:r>
          </w:p>
        </w:tc>
      </w:tr>
    </w:tbl>
    <w:p w:rsidR="009520A9" w:rsidRDefault="009520A9">
      <w:pPr>
        <w:jc w:val="left"/>
      </w:pPr>
    </w:p>
    <w:p w:rsidR="009520A9" w:rsidRDefault="00770482">
      <w:r>
        <w:t xml:space="preserve">U 2024. provodit će se sljedećih četiri (4) ESF-ovih projekata čiji je nositelj ili partner Agencija za strukovno obrazovanje i obrazovanje odraslih:   </w:t>
      </w:r>
    </w:p>
    <w:p w:rsidR="009520A9" w:rsidRDefault="00770482">
      <w:r>
        <w:t xml:space="preserve">Specifični cilj 10.iv.1   </w:t>
      </w:r>
    </w:p>
    <w:p w:rsidR="009520A9" w:rsidRDefault="00770482">
      <w:r>
        <w:t xml:space="preserve">1. Daljnja provedba kurikularne reforme u strukovnome obrazovanju i jačanje </w:t>
      </w:r>
      <w:r>
        <w:t xml:space="preserve">kapaciteta nastavnika strukovnih predmeta i mentora kod poslodavaca  </w:t>
      </w:r>
    </w:p>
    <w:p w:rsidR="009520A9" w:rsidRDefault="00770482">
      <w:r>
        <w:t xml:space="preserve">2. Podrška izvrsnosti, inovativnosti i vidljivosti strukovnog obrazovanja i osposobljavanja i obrazovanja odraslih  </w:t>
      </w:r>
    </w:p>
    <w:p w:rsidR="009520A9" w:rsidRDefault="00770482">
      <w:r>
        <w:t>3. Daljni razvoj sustava osiguravanja kvalitete u obrazovanju odrasli</w:t>
      </w:r>
      <w:r>
        <w:t xml:space="preserve">h i podizanje svijesti o važnosti cjeloživotnog učenja  </w:t>
      </w:r>
    </w:p>
    <w:p w:rsidR="009520A9" w:rsidRDefault="00770482">
      <w:r>
        <w:t xml:space="preserve">4. Podrška primjeni digitalnih tehnologija u obrazovanju – BrAIin“  </w:t>
      </w:r>
    </w:p>
    <w:p w:rsidR="009520A9" w:rsidRDefault="00770482">
      <w:r>
        <w:t xml:space="preserve">  </w:t>
      </w:r>
    </w:p>
    <w:p w:rsidR="009520A9" w:rsidRDefault="00770482">
      <w:r>
        <w:t xml:space="preserve">1. Daljnja provedba kurikularne reforme u strukovnome obrazovanju i jačanje kapaciteta nastavnika strukovnih predmeta i mentora kod poslodavaca  </w:t>
      </w:r>
    </w:p>
    <w:p w:rsidR="009520A9" w:rsidRDefault="00770482">
      <w:r>
        <w:t xml:space="preserve">  </w:t>
      </w:r>
    </w:p>
    <w:p w:rsidR="009520A9" w:rsidRDefault="00770482">
      <w:r>
        <w:t>Glavni cilj projekta je daljnja reforma strukovnog obrazovanja i osposobljavanja koje je privlačno, inovati</w:t>
      </w:r>
      <w:r>
        <w:t>vno, relevantno, povezano s tržištem rada te koje će omogućiti polaznicima stjecanje kompetencija za osobni i profesionalni razvoj te nastavak obrazovanja i cjeloživotno učenje. Specifični ciljevi uključuju jačanje kompetencija odgojno-obrazovnih djelatnik</w:t>
      </w:r>
      <w:r>
        <w:t>a za uvođenje i provedbu kurikuluma, podršku reviziji i ažuriranju kurikulumskih dokumenata te podizanje privlačnosti SOO. U okviru projekta planira se osnivanje mobilnih timova koji će, nakon osposobljavanja od strane Agencije, posjećivati svaku od 300 st</w:t>
      </w:r>
      <w:r>
        <w:t>rukovnih škola (prosječno jednom godišnje) te pružati podršku u razvoju, uvođenju i provedbi kurikuluma ustanove. Ključne aktivnosti bit će organizacija niza jednodnevnih i višednevnih stručnih usavršavanja za odgojno-obrazovne djelatnike u strukovnim škol</w:t>
      </w:r>
      <w:r>
        <w:t>ama. Odgojno-obrazovne djelatnike Agencija će okupljati i na velikim regionalnim i nacionalnim događanjima. Osmislit će se i provoditi aktivnosti osposobljavanja čitavog niza vanjskih stručnjaka. S obzirom da ove aktivnosti zahtijevaju i veliki angažman dj</w:t>
      </w:r>
      <w:r>
        <w:t>elatnika Agencije i za njih će se osigurati periodične edukacije te jačanje kapaciteta. Također, uspostavit će se i baza vanjskih sektorskih stručnjaka (25) koji će pružati podršku Agenciji u praćenju i nadzoru kurikularne reforme. Razvit će se i drugi obr</w:t>
      </w:r>
      <w:r>
        <w:t>azovani materijali - nastavna sredstva (tiskana, digitalna ili fizička) koja pomažu u ostvarivanju pojedinih odgojno-obrazovnih ishoda utvrđenih kurikulumom, potiču interakciju učenik – učenik i/ili učenik – sadržaj te istraživački i/ili grupni rad. Osnova</w:t>
      </w:r>
      <w:r>
        <w:t>t će se radne skupine koje će, nakon osposobljavanja od strane Agencije, provesti reviziju standarda zanimanja, standarda kvalifikacije te strukovnih kurikuluma. U proteklome razdoblju razvijena su IT rješenja (edu.asoo.hr, e-kvalifikacije i e-kurikulum) k</w:t>
      </w:r>
      <w:r>
        <w:t>oja je nužno održavati te prema potrebi (unaprjeđenje tehnologija) i temeljem korisničkog iskustva (funkcionalna poboljšavanja) unaprjeđivati. Provest će se medijska kampanja u svrhu jačanja podrške reformi strukovnog obrazovanja među odgojno-obrazovnim dj</w:t>
      </w:r>
      <w:r>
        <w:t xml:space="preserve">elatnicima i te u široj javnosti.  </w:t>
      </w:r>
    </w:p>
    <w:p w:rsidR="009520A9" w:rsidRDefault="00770482">
      <w:r>
        <w:t xml:space="preserve"> </w:t>
      </w:r>
    </w:p>
    <w:p w:rsidR="009520A9" w:rsidRDefault="00770482">
      <w:r>
        <w:t xml:space="preserve">2. Podrška izvrsnosti, inovativnosti i vidljivosti strukovnog obrazovanja i osposobljavanja  </w:t>
      </w:r>
    </w:p>
    <w:p w:rsidR="009520A9" w:rsidRDefault="00770482">
      <w:r>
        <w:t>Opći cilj projekta je promicanje izvrsnosti i privlačnosti strukovnog obrazovanja kroz organizaciju strukovnih natjecanja ka</w:t>
      </w:r>
      <w:r>
        <w:t>o platforme za povezivanje škola i poslodavaca. Specifični ciljevi projekta su promocija strukovnih zanimanja, jačanje kompetencija učenika i djelatnika škola kroz provedbu i sudjelovanje na natjecanjima i smotrama. Kroz projekt će podržati provedba državn</w:t>
      </w:r>
      <w:r>
        <w:t>ih natjecanja učenika strukovnih škola te na aktivnosti potpore sudjelovanju hrvatskih timova i delegacije na međunarodnim WorldSkills i EuroSkills natjecanjima, kao i članstvo u asocijacijama koje organiziraju ta natjecanja. Predviđena je provedba niza ra</w:t>
      </w:r>
      <w:r>
        <w:t xml:space="preserve">dionica za učenike i nastavnike strukovnih škola s ciljem informiranja, podizanja interesa te usavršavanja nastavnika za sudjelovanje na natjecanju prema novom modelu natjecanja učenika strukovnih škola.   </w:t>
      </w:r>
    </w:p>
    <w:p w:rsidR="009520A9" w:rsidRDefault="00770482">
      <w:r>
        <w:t>3.</w:t>
      </w:r>
      <w:r>
        <w:tab/>
        <w:t xml:space="preserve">Daljnji razvoj sustava osiguravanja kvalitete </w:t>
      </w:r>
      <w:r>
        <w:t xml:space="preserve">u obrazovanju odraslih i podizanje svijesti o važnosti cjeloživotnog učenja  </w:t>
      </w:r>
    </w:p>
    <w:p w:rsidR="009520A9" w:rsidRDefault="00770482">
      <w:r>
        <w:t xml:space="preserve">Opći cilj operacije je daljnji razvoj sustava osiguravanja kvalitete u obrazovanju odraslih i podizanje svijesti o važnosti cjeloživotnog učenja. Specifični ciljevi operacije su </w:t>
      </w:r>
      <w:r>
        <w:t xml:space="preserve">unapređenje sustava osiguravanja kvalitete provođenjem vanjskog vrednovanja ustanova za obrazovanje odraslih i promocija različitih mogućnosti za cjeloživotno učenje u RH te jačanje kompetencija obrazovnog osoblja iz sustava obrazovanja odraslih.  </w:t>
      </w:r>
    </w:p>
    <w:p w:rsidR="009520A9" w:rsidRDefault="00770482">
      <w:r>
        <w:t>Jačanje</w:t>
      </w:r>
      <w:r>
        <w:t xml:space="preserve"> kapaciteta dionika u sustavu obrazovanja odraslih i razvoj sustava obrazovanja usmjeren je na jačanje kapaciteta dionika u sustavu obrazovanja odraslih i razvoj sustava obrazovanja. U okviru ovog elementa organizirat će se MAS – andragoška konferencija. T</w:t>
      </w:r>
      <w:r>
        <w:t>akođer će se provoditi jednodnevna, dvodnevna, trodnevna i četverodnevna događanja namijenjena institucijama i provoditeljima programa obrazovanja odraslih koji žele unaprijediti svoja specifična znanja i vještine te stručne kvalifikacije s ciljem osigurav</w:t>
      </w:r>
      <w:r>
        <w:t>anja odgovarajuće razine kvalitete same ustanove a time i profesionalnih standarda njihovih radnika. Jačanje kapaciteta dionika u sustava obrazovanja odraslih provodit će se i kroz savjetodavne posjete. Posjet pojedinoj ustanovi za obrazovanje odraslih omo</w:t>
      </w:r>
      <w:r>
        <w:t>gućit će da ova aktivnost bude specifično vezana uz pojedinu ustanovu te da aktivnosti jačanja kapaciteta, teme i sadržaji, u maksimalnoj mogućoj mjeri budu osmišljeni na temelju konteksta rada svake pojedine ustanove za obrazovanje odraslih. Izrađivati će</w:t>
      </w:r>
      <w:r>
        <w:t xml:space="preserve"> se video materijala (tutoriala, smjernica) koji će na pristupačan način obrađivati pojedine teme iz područja obrazovanja odraslih. U suradnji sa stručno-znanstvenim organizacijama organizirat će se stručno – znanstvene konferencije kojima će se nastojati </w:t>
      </w:r>
      <w:r>
        <w:t xml:space="preserve">otvoriti važna pitanja za razvoj andragogije, odnosno za teoriju i praksu obrazovanja odraslih.   </w:t>
      </w:r>
    </w:p>
    <w:p w:rsidR="009520A9" w:rsidRDefault="00770482">
      <w:r>
        <w:t>Promocija cjeloživotnog učenja organizirat će se nacionalna obrazovna kampanja Tjedan cjeloživotnog učenja šest puta. U okviru kampanje, održat će se nekolik</w:t>
      </w:r>
      <w:r>
        <w:t>o stotina besplatnih aktivnosti (radionica, tribina, sajmova učenja, okruglih stolova), a sve sa svrhom motiviranja građana na uključivanje u proces učenja. Zbog niskog sudjelovanja skupina u nepovoljnom položaju u obrazovanju (niskokvalificirano, starije,</w:t>
      </w:r>
      <w:r>
        <w:t xml:space="preserve"> ruralno i dugotrajno nezaposleno stanovništvo, kao i Romi i osobe s invaliditetom), promotivne aktivnosti će biti posebno usmjerene prema navedenim skupinama. U sklopu kampanje dodijelit će se nagrade Maslačak znanja za postignuća u učenju odraslih osoba.</w:t>
      </w:r>
      <w:r>
        <w:t xml:space="preserve"> Angažirat će se županijski koordinatori koji će u svim županijama RH promicati važnost cjeloživotnog učenja organizacijom događanja, informiranjem građanstva o nacionalnoj kampanji Tjedan cjeloživotnog učenja te distribucijom promotivnih materijala čime ć</w:t>
      </w:r>
      <w:r>
        <w:t>e se dodatno promicati uključivanje u cjeloživotno učenje uzimajući u obzir osobitosti svake županije i njihovih specifičnih potreba. S ciljem informiranja što većeg broja građana, sve aktivnosti ovog elementa bit će popraćene jakom medijskom kampanjom pro</w:t>
      </w:r>
      <w:r>
        <w:t>mocije cjeloživotnog učenja i obrazovanja odraslih. S ciljem informiranja što većeg broja građana, sve aktivnosti promocije cjeloživotnog učenja i obrazovanja odraslih bit će popraćene izradom (lekturom, prijevodom, grafičkom pripremom i tiskom) te distrib</w:t>
      </w:r>
      <w:r>
        <w:t xml:space="preserve">ucijom materijala  u svrhu promocije cjeloživotnog učenja i obrazovanja odraslih (brošura, publikacija, plakata, letaka i sl.).  </w:t>
      </w:r>
    </w:p>
    <w:p w:rsidR="009520A9" w:rsidRDefault="00770482">
      <w:r>
        <w:t>Planira se provedba vanjskog vrednovanja ustanova za obrazovanje odraslih. Vanjsko vrednovanje ustanova provodit će članovi po</w:t>
      </w:r>
      <w:r>
        <w:t>vjerenstva za vanjsko vrednovanja ustanova za obrazovanje odraslih, planira se 3-5 stručnjaka ovisno o veličini ustanove (broju i raznolikosti programa, broju polaznika). Uz članove povjerenstva za vanjsko vrednovanja u posjetu ustanovi sudjelovat će i koo</w:t>
      </w:r>
      <w:r>
        <w:t>rdinatori – osobe koje će imenovati Agencija za strukovno obrazovanje i obrazovanje odraslih, a imat će zadaću pružati organizacijsku, administrativnu i stručnu potporu stručnom povjerenstvu. U sklopu ovog elementa provodit će se i vanjsko vrednovanje skup</w:t>
      </w:r>
      <w:r>
        <w:t>ova ishoda učenja. Vanjsko vrednovanje skupova ishoda učenja provodit će povjerenstvo koje će se sastojati od tri člana od kojih najviše dva člana imenuje Agencija kao vanjske neovisne ispitivače, a ostale članove imenovat će ustanova sukladno programu obr</w:t>
      </w:r>
      <w:r>
        <w:t xml:space="preserve">azovanja/programu vrednovanja.   </w:t>
      </w:r>
    </w:p>
    <w:p w:rsidR="009520A9" w:rsidRDefault="00770482">
      <w:r>
        <w:t xml:space="preserve">U sklopu ovog elementa predviđeno je zapošljavanje sedam osoba koje će pružati podršku u provedbi aktivnosti te upravljanju i administraciji projekta.  </w:t>
      </w:r>
    </w:p>
    <w:p w:rsidR="009520A9" w:rsidRDefault="00770482">
      <w:r>
        <w:t>4.</w:t>
      </w:r>
      <w:r>
        <w:tab/>
        <w:t xml:space="preserve">Podrška primjeni digitalnih tehnologija u obrazovanju – BrAIin“  </w:t>
      </w:r>
    </w:p>
    <w:p w:rsidR="009520A9" w:rsidRDefault="00770482">
      <w:r>
        <w:t>Opći cilj projekta je doprinijeti kvaliteti i duljini vremena koje učenici provode u odgojno-obrazovnom procesu kroz integraciju digitalnih tehnologija za uspostavu personaliziranog pristupa učenju i poučavanju te kroz razvoj kurikuluma i digitalnog obrazo</w:t>
      </w:r>
      <w:r>
        <w:t>vnog sadržaja iz područja digitalnih tehnologija u nastajanju. Specifični ciljevi projekta su razvojem kurikuluma i obrazovnog programa  te istraživanjem kontinuirano usmjeravati i pratiti utjecaj digitalnih tehnologija na obrazovanje s ciljem podizanja di</w:t>
      </w:r>
      <w:r>
        <w:t xml:space="preserve">gitalnih kompetencija učenika i nastavnika. Razviti sustav pametnih preporuka koji će omogućiti bolji uvid u postignuća učenika i pridonijeti personaliziranom pristupu razvoju svakog učenika. Automatiziranim sustavom nadzora i upravljanja osigurati visoku </w:t>
      </w:r>
      <w:r>
        <w:t xml:space="preserve">dostupnost digitaliziranih obrazovnih usluga kroz efikasnije, dostupnije i održivije upravljanje mrežom i kibernetičkom sigurnošću.  </w:t>
      </w:r>
    </w:p>
    <w:p w:rsidR="009520A9" w:rsidRDefault="00770482">
      <w:r>
        <w:t>Agencije za strukovno obrazovanje i obrazovanje odraslih kao partnerska ustanova sudjelovat će u radu radne skupine za izradu kurikuluma. Komunicirati će sa strukovnim školama tijekom projektnih aktivnosti. Agencija će imati savjetodavnu ulogu u predlaganj</w:t>
      </w:r>
      <w:r>
        <w:t xml:space="preserve">u škola u kojima bi se mogao provoditi eksperimentalni program kao i pri pregledu i analizi tema i sadržaja edukacija te u provedbi istraživanja.  </w:t>
      </w:r>
    </w:p>
    <w:p w:rsidR="009520A9" w:rsidRDefault="00770482">
      <w:r>
        <w:t>Projekt BrAIn je osmišljen i kreiran s ciljem daljnjeg razvijanja digitalne kompetencije učenika i nastavnik</w:t>
      </w:r>
      <w:r>
        <w:t>a i upoznavanje svih dionika obrazovnog sustava s konstruktivnim radom i suživotom s digitalnim tehnologijama i umjetnom inteligencijom. Kroz projektne aktivnosti digitalne transformacije obrazovnih procesa uz pomoć personaliziranog pristupa učenicima i uč</w:t>
      </w:r>
      <w:r>
        <w:t>enicama će se pridonijeti duljini vremena kojeg učenici provode u odgojno-obrazovnom procesu.</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w:t>
            </w:r>
            <w:r>
              <w:rPr>
                <w:rFonts w:cs="Times New Roman"/>
              </w:rPr>
              <w:t>jednost (2026.)</w:t>
            </w:r>
          </w:p>
        </w:tc>
      </w:tr>
      <w:tr w:rsidR="009520A9">
        <w:trPr>
          <w:jc w:val="center"/>
        </w:trPr>
        <w:tc>
          <w:tcPr>
            <w:tcW w:w="2245" w:type="dxa"/>
            <w:vAlign w:val="top"/>
          </w:tcPr>
          <w:p w:rsidR="009520A9" w:rsidRDefault="00770482">
            <w:pPr>
              <w:pStyle w:val="CellColumn"/>
              <w:jc w:val="left"/>
            </w:pPr>
            <w:r>
              <w:rPr>
                <w:rFonts w:cs="Times New Roman"/>
              </w:rPr>
              <w:t>Broj sudionika s tercijarnim obrazovanjem koji će proći kroz stručna usavršavanja</w:t>
            </w:r>
          </w:p>
        </w:tc>
        <w:tc>
          <w:tcPr>
            <w:tcW w:w="2245" w:type="dxa"/>
            <w:vAlign w:val="top"/>
          </w:tcPr>
          <w:p w:rsidR="009520A9" w:rsidRDefault="00770482">
            <w:pPr>
              <w:pStyle w:val="CellColumn"/>
              <w:jc w:val="left"/>
            </w:pPr>
            <w:r>
              <w:rPr>
                <w:rFonts w:cs="Times New Roman"/>
              </w:rPr>
              <w:t>Kroz projekt će se pružiti značajna podrška školama za provedbu novih kurikuluma kroz sudjelovanja na radionicama, savjetovanjima, diseminacijskim konferenci</w:t>
            </w:r>
            <w:r>
              <w:rPr>
                <w:rFonts w:cs="Times New Roman"/>
              </w:rPr>
              <w:t>jama i stručnim posjetama.  Ciljna skupina usavršavanja su odgojno-obrazovno osoblje, odnosno nastavnici strukovnih predmeta te ravnatelji ustanova za strukovno obrazovanje.</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700</w:t>
            </w:r>
          </w:p>
        </w:tc>
        <w:tc>
          <w:tcPr>
            <w:tcW w:w="918" w:type="dxa"/>
          </w:tcPr>
          <w:p w:rsidR="009520A9" w:rsidRDefault="00770482">
            <w:pPr>
              <w:jc w:val="center"/>
            </w:pPr>
            <w:r>
              <w:t>1000</w:t>
            </w:r>
          </w:p>
        </w:tc>
        <w:tc>
          <w:tcPr>
            <w:tcW w:w="918" w:type="dxa"/>
          </w:tcPr>
          <w:p w:rsidR="009520A9" w:rsidRDefault="00770482">
            <w:pPr>
              <w:jc w:val="center"/>
            </w:pPr>
            <w:r>
              <w:t>2000</w:t>
            </w:r>
          </w:p>
        </w:tc>
      </w:tr>
      <w:tr w:rsidR="009520A9">
        <w:trPr>
          <w:jc w:val="center"/>
        </w:trPr>
        <w:tc>
          <w:tcPr>
            <w:tcW w:w="2245" w:type="dxa"/>
            <w:vAlign w:val="top"/>
          </w:tcPr>
          <w:p w:rsidR="009520A9" w:rsidRDefault="00770482">
            <w:pPr>
              <w:pStyle w:val="CellColumn"/>
              <w:jc w:val="left"/>
            </w:pPr>
            <w:r>
              <w:rPr>
                <w:rFonts w:cs="Times New Roman"/>
              </w:rPr>
              <w:t>Broj izrađenih drugih obrazovnih materijala</w:t>
            </w:r>
          </w:p>
        </w:tc>
        <w:tc>
          <w:tcPr>
            <w:tcW w:w="2245" w:type="dxa"/>
            <w:vAlign w:val="top"/>
          </w:tcPr>
          <w:p w:rsidR="009520A9" w:rsidRDefault="00770482">
            <w:pPr>
              <w:pStyle w:val="CellColumn"/>
              <w:jc w:val="left"/>
            </w:pPr>
            <w:r>
              <w:rPr>
                <w:rFonts w:cs="Times New Roman"/>
              </w:rPr>
              <w:t>Drugi obrazovni materijali služe podršci uvođenju novih kurikuluma u strukovne škole</w:t>
            </w:r>
          </w:p>
        </w:tc>
        <w:tc>
          <w:tcPr>
            <w:tcW w:w="918" w:type="dxa"/>
          </w:tcPr>
          <w:p w:rsidR="009520A9" w:rsidRDefault="00770482">
            <w:pPr>
              <w:jc w:val="center"/>
            </w:pPr>
            <w:r>
              <w:t>broj</w:t>
            </w:r>
          </w:p>
        </w:tc>
        <w:tc>
          <w:tcPr>
            <w:tcW w:w="918" w:type="dxa"/>
          </w:tcPr>
          <w:p w:rsidR="009520A9" w:rsidRDefault="00770482">
            <w:pPr>
              <w:jc w:val="center"/>
            </w:pPr>
            <w:r>
              <w:t>2500</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500</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učenika natjecanja državnih i međunarodnih</w:t>
            </w:r>
          </w:p>
        </w:tc>
        <w:tc>
          <w:tcPr>
            <w:tcW w:w="2245" w:type="dxa"/>
            <w:vAlign w:val="top"/>
          </w:tcPr>
          <w:p w:rsidR="009520A9" w:rsidRDefault="00770482">
            <w:pPr>
              <w:pStyle w:val="CellColumn"/>
              <w:jc w:val="left"/>
            </w:pPr>
            <w:r>
              <w:rPr>
                <w:rFonts w:cs="Times New Roman"/>
              </w:rPr>
              <w:t>Svake godine održavat će se državno natjecanje učenika strukovnih škola kao i sudjelovalje hrvatsko</w:t>
            </w:r>
            <w:r>
              <w:rPr>
                <w:rFonts w:cs="Times New Roman"/>
              </w:rPr>
              <w:t>g tima na jednom međuanrodnom natjecanju</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2</w:t>
            </w:r>
          </w:p>
        </w:tc>
        <w:tc>
          <w:tcPr>
            <w:tcW w:w="918" w:type="dxa"/>
          </w:tcPr>
          <w:p w:rsidR="009520A9" w:rsidRDefault="00770482">
            <w:pPr>
              <w:jc w:val="center"/>
            </w:pPr>
            <w:r>
              <w:t>2</w:t>
            </w:r>
          </w:p>
        </w:tc>
        <w:tc>
          <w:tcPr>
            <w:tcW w:w="918" w:type="dxa"/>
          </w:tcPr>
          <w:p w:rsidR="009520A9" w:rsidRDefault="00770482">
            <w:pPr>
              <w:jc w:val="center"/>
            </w:pPr>
            <w:r>
              <w:t>2</w:t>
            </w:r>
          </w:p>
        </w:tc>
      </w:tr>
      <w:tr w:rsidR="009520A9">
        <w:trPr>
          <w:jc w:val="center"/>
        </w:trPr>
        <w:tc>
          <w:tcPr>
            <w:tcW w:w="2245" w:type="dxa"/>
            <w:vAlign w:val="top"/>
          </w:tcPr>
          <w:p w:rsidR="009520A9" w:rsidRDefault="00770482">
            <w:pPr>
              <w:pStyle w:val="CellColumn"/>
              <w:jc w:val="left"/>
            </w:pPr>
            <w:r>
              <w:rPr>
                <w:rFonts w:cs="Times New Roman"/>
              </w:rPr>
              <w:t>Broj održanih andragoških usavršavanja</w:t>
            </w:r>
          </w:p>
        </w:tc>
        <w:tc>
          <w:tcPr>
            <w:tcW w:w="2245" w:type="dxa"/>
            <w:vAlign w:val="top"/>
          </w:tcPr>
          <w:p w:rsidR="009520A9" w:rsidRDefault="00770482">
            <w:pPr>
              <w:pStyle w:val="CellColumn"/>
              <w:jc w:val="left"/>
            </w:pPr>
            <w:r>
              <w:rPr>
                <w:rFonts w:cs="Times New Roman"/>
              </w:rPr>
              <w:t>Agencija u skladu s ciljem projekta organizira andragoška usavršavanja koja obuhvaćaju MAS-andragoške konferencije, konferenciju za dionike u sustavu obrazovanja odraslih, andragoške radionice (jednodnevna, dvodnevna, trodnevna i četverodnevna  događanja s</w:t>
            </w:r>
            <w:r>
              <w:rPr>
                <w:rFonts w:cs="Times New Roman"/>
              </w:rPr>
              <w:t xml:space="preserve"> relevantnim andragoškim temama, na međunarodnoj, nacionalnoj i lokalnoj razini) i stručno-znanstvene konferencije</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19</w:t>
            </w:r>
          </w:p>
        </w:tc>
        <w:tc>
          <w:tcPr>
            <w:tcW w:w="918" w:type="dxa"/>
          </w:tcPr>
          <w:p w:rsidR="009520A9" w:rsidRDefault="00770482">
            <w:pPr>
              <w:jc w:val="center"/>
            </w:pPr>
            <w:r>
              <w:t>21</w:t>
            </w:r>
          </w:p>
        </w:tc>
        <w:tc>
          <w:tcPr>
            <w:tcW w:w="918" w:type="dxa"/>
          </w:tcPr>
          <w:p w:rsidR="009520A9" w:rsidRDefault="00770482">
            <w:pPr>
              <w:jc w:val="center"/>
            </w:pPr>
            <w:r>
              <w:t>21</w:t>
            </w:r>
          </w:p>
        </w:tc>
      </w:tr>
      <w:tr w:rsidR="009520A9">
        <w:trPr>
          <w:jc w:val="center"/>
        </w:trPr>
        <w:tc>
          <w:tcPr>
            <w:tcW w:w="2245" w:type="dxa"/>
            <w:vAlign w:val="top"/>
          </w:tcPr>
          <w:p w:rsidR="009520A9" w:rsidRDefault="00770482">
            <w:pPr>
              <w:pStyle w:val="CellColumn"/>
              <w:jc w:val="left"/>
            </w:pPr>
            <w:r>
              <w:rPr>
                <w:rFonts w:cs="Times New Roman"/>
              </w:rPr>
              <w:t>Broj organiziranih kampanja Tjedna cjeloživotnog učenja</w:t>
            </w:r>
          </w:p>
        </w:tc>
        <w:tc>
          <w:tcPr>
            <w:tcW w:w="2245" w:type="dxa"/>
            <w:vAlign w:val="top"/>
          </w:tcPr>
          <w:p w:rsidR="009520A9" w:rsidRDefault="00770482">
            <w:pPr>
              <w:pStyle w:val="CellColumn"/>
              <w:jc w:val="left"/>
            </w:pPr>
            <w:r>
              <w:rPr>
                <w:rFonts w:cs="Times New Roman"/>
              </w:rPr>
              <w:t>Organizacijom nacionalne obrazovne kampanje Tjedan cjeloživotno</w:t>
            </w:r>
            <w:r>
              <w:rPr>
                <w:rFonts w:cs="Times New Roman"/>
              </w:rPr>
              <w:t>g učenja omogućit će se dostupnost informacija o mogućnostima učenja na nacionalnoj, regionalnoj i lokalnoj razini te potaknuti daljnji razvoj aktivnosti usmjerenih na uključenje svih građana u proces cjeloživotnog učenja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r w:rsidR="009520A9">
        <w:trPr>
          <w:jc w:val="center"/>
        </w:trPr>
        <w:tc>
          <w:tcPr>
            <w:tcW w:w="2245" w:type="dxa"/>
            <w:vAlign w:val="top"/>
          </w:tcPr>
          <w:p w:rsidR="009520A9" w:rsidRDefault="00770482">
            <w:pPr>
              <w:pStyle w:val="CellColumn"/>
              <w:jc w:val="left"/>
            </w:pPr>
            <w:r>
              <w:rPr>
                <w:rFonts w:cs="Times New Roman"/>
              </w:rPr>
              <w:t>Broj provedenih vanjskih vrednovanja ustanova za obrazovanje odraslih</w:t>
            </w:r>
          </w:p>
        </w:tc>
        <w:tc>
          <w:tcPr>
            <w:tcW w:w="2245" w:type="dxa"/>
            <w:vAlign w:val="top"/>
          </w:tcPr>
          <w:p w:rsidR="009520A9" w:rsidRDefault="00770482">
            <w:pPr>
              <w:pStyle w:val="CellColumn"/>
              <w:jc w:val="left"/>
            </w:pPr>
            <w:r>
              <w:rPr>
                <w:rFonts w:cs="Times New Roman"/>
              </w:rPr>
              <w:t>Provedba vanjskog vrednovanja ustanova za obrazovanje odraslih s ciljem daljnjeg razvoja sustava osiguravanja kvalitete.</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20</w:t>
            </w:r>
          </w:p>
        </w:tc>
        <w:tc>
          <w:tcPr>
            <w:tcW w:w="918" w:type="dxa"/>
          </w:tcPr>
          <w:p w:rsidR="009520A9" w:rsidRDefault="00770482">
            <w:pPr>
              <w:jc w:val="center"/>
            </w:pPr>
            <w:r>
              <w:t>50</w:t>
            </w:r>
          </w:p>
        </w:tc>
        <w:tc>
          <w:tcPr>
            <w:tcW w:w="918" w:type="dxa"/>
          </w:tcPr>
          <w:p w:rsidR="009520A9" w:rsidRDefault="00770482">
            <w:pPr>
              <w:jc w:val="center"/>
            </w:pPr>
            <w:r>
              <w:t>50</w:t>
            </w:r>
          </w:p>
        </w:tc>
      </w:tr>
      <w:tr w:rsidR="009520A9">
        <w:trPr>
          <w:jc w:val="center"/>
        </w:trPr>
        <w:tc>
          <w:tcPr>
            <w:tcW w:w="2245" w:type="dxa"/>
            <w:vAlign w:val="top"/>
          </w:tcPr>
          <w:p w:rsidR="009520A9" w:rsidRDefault="00770482">
            <w:pPr>
              <w:pStyle w:val="CellColumn"/>
              <w:jc w:val="left"/>
            </w:pPr>
            <w:r>
              <w:rPr>
                <w:rFonts w:cs="Times New Roman"/>
              </w:rPr>
              <w:t>Broj savjetničkih posjeta školama</w:t>
            </w:r>
          </w:p>
        </w:tc>
        <w:tc>
          <w:tcPr>
            <w:tcW w:w="2245" w:type="dxa"/>
            <w:vAlign w:val="top"/>
          </w:tcPr>
          <w:p w:rsidR="009520A9" w:rsidRDefault="00770482">
            <w:pPr>
              <w:pStyle w:val="CellColumn"/>
              <w:jc w:val="left"/>
            </w:pPr>
            <w:r>
              <w:rPr>
                <w:rFonts w:cs="Times New Roman"/>
              </w:rPr>
              <w:t>Savjetnič</w:t>
            </w:r>
            <w:r>
              <w:rPr>
                <w:rFonts w:cs="Times New Roman"/>
              </w:rPr>
              <w:t>ki posjeti strukovnim školama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ASOO</w:t>
            </w:r>
          </w:p>
        </w:tc>
        <w:tc>
          <w:tcPr>
            <w:tcW w:w="918" w:type="dxa"/>
          </w:tcPr>
          <w:p w:rsidR="009520A9" w:rsidRDefault="00770482">
            <w:pPr>
              <w:jc w:val="center"/>
            </w:pPr>
            <w:r>
              <w:t>30</w:t>
            </w:r>
          </w:p>
        </w:tc>
        <w:tc>
          <w:tcPr>
            <w:tcW w:w="918" w:type="dxa"/>
          </w:tcPr>
          <w:p w:rsidR="009520A9" w:rsidRDefault="00770482">
            <w:pPr>
              <w:jc w:val="center"/>
            </w:pPr>
            <w:r>
              <w:t>60</w:t>
            </w:r>
          </w:p>
        </w:tc>
        <w:tc>
          <w:tcPr>
            <w:tcW w:w="918" w:type="dxa"/>
          </w:tcPr>
          <w:p w:rsidR="009520A9" w:rsidRDefault="00770482">
            <w:pPr>
              <w:jc w:val="center"/>
            </w:pPr>
            <w:r>
              <w:t>60</w:t>
            </w:r>
          </w:p>
        </w:tc>
      </w:tr>
    </w:tbl>
    <w:p w:rsidR="009520A9" w:rsidRDefault="009520A9">
      <w:pPr>
        <w:jc w:val="left"/>
      </w:pPr>
    </w:p>
    <w:p w:rsidR="009520A9" w:rsidRDefault="00770482">
      <w:pPr>
        <w:pStyle w:val="Heading2"/>
      </w:pPr>
      <w:r>
        <w:t>52209 Hrvatska zaklada za znanost</w:t>
      </w:r>
    </w:p>
    <w:p w:rsidR="009520A9" w:rsidRDefault="00770482">
      <w:r>
        <w:t>Osnivač Hrvatske zaklade za znanost je Republika Hrvatska, a osnivačka prava i obveze, u ime Republike Hrvatske, ostvaruje ministarstvo nadležno za znanost. Skraćeni naziv Zaklade glasi HRZZ. Zaklada je osnovana s temeljnom svrhom razvoja i promicanja znan</w:t>
      </w:r>
      <w:r>
        <w:t xml:space="preserve">osti i tehnologije u Republici Hrvatskoj s ciljem osiguravanja održivog znanstvenog, tehnološkog, društvenog i gospodarskog razvoja.  </w:t>
      </w:r>
    </w:p>
    <w:p w:rsidR="009520A9" w:rsidRDefault="00770482">
      <w:r>
        <w:t xml:space="preserve">Radi ostvarivanja svoje svrhe Zaklada dodjeljuje financijska sredstva: </w:t>
      </w:r>
    </w:p>
    <w:p w:rsidR="009520A9" w:rsidRDefault="00770482">
      <w:r>
        <w:t>– temeljnim istraživanjima te primijenjenim istra</w:t>
      </w:r>
      <w:r>
        <w:t xml:space="preserve">živanjima u ranoj fazi tehnološke spremnosti i znanstvenim istraživanjima koja su od strateškog interesa za Republiku Hrvatsku </w:t>
      </w:r>
    </w:p>
    <w:p w:rsidR="009520A9" w:rsidRDefault="00770482">
      <w:r>
        <w:t xml:space="preserve">– za razvoj karijera istraživača na doktorskoj i poslijedoktorskoj razini. </w:t>
      </w:r>
    </w:p>
    <w:p w:rsidR="009520A9" w:rsidRDefault="00770482">
      <w:r>
        <w:t xml:space="preserve">Zaklada potiče znanstvenu izvrsnost, kompetitivnost </w:t>
      </w:r>
      <w:r>
        <w:t xml:space="preserve">u financiranju istraživanja nacionalnih i/ili međunarodno prepoznatih istraživačkih tema te nacionalnu i međunarodnu suradnju i povezivanje, s ciljem razvoja gospodarstva te stvaranja novog okruženja i društva temeljenog na znanju. </w:t>
      </w:r>
    </w:p>
    <w:p w:rsidR="009520A9" w:rsidRDefault="00770482">
      <w:r>
        <w:t xml:space="preserve">Zaklada u razdoblju od </w:t>
      </w:r>
      <w:r>
        <w:t>2024.-2026. godine planira raspisivanje novih javnih poziva za sljedeće natječaje: Istraživački projekti (IP),  Uspostavni istraživački projekti (UIP) te Projekt razvoja karijera mladih istraživača – izobrazba novih doktora znanosti (DOK). Program Istraživ</w:t>
      </w:r>
      <w:r>
        <w:t>ački projekti je temeljni nacionalni program za financiranje kompetitivnih znanstvenih istraživanja u Hrvatskoj. Programom se financiraju temeljna istraživanja pokrenuta znatiželjom u svim područjima znanosti te primijenjena istraživanja s jasnim tehnološk</w:t>
      </w:r>
      <w:r>
        <w:t>im, gospodarskim ili društvenim ciljevima. Voditelji moraju biti međunarodno i nacionalno prepoznati znanstvenici koji vode jake istraživačke grupe uspostavljene na hrvatskim znanstvenim organizacijama. Program potiče zahtjevnije i ambicioznije projekte ko</w:t>
      </w:r>
      <w:r>
        <w:t>ji uključuju suradnju, umrežavanje i okrupnjavanje istraživačkih grupa, opreme i drugih istraživačkih kapaciteta, istraživače u ranoj fazi razvoja karijere te stvaranje međunarodno kompetitivnih i prepoznatljivih istraživačkih grupa. Program Uspostavni ist</w:t>
      </w:r>
      <w:r>
        <w:t>raživački projekti je temeljni nacionalni program za kompetitivno financiranje novih grupa istraživača u ranoj fazi razvoja karijere u Hrvatskoj. Cilj programa je podupiranje razvoja samostalnih istraživačkih karijera znanstvenika u ranoj fazi razvoja kari</w:t>
      </w:r>
      <w:r>
        <w:t>jere te novih istraživačkih grupa koje se bave međunarodno prepoznatljivom i nacionalno relevantnom tematikom, u svim područjima znanosti. Projekt razvoja karijera mladih istraživača je temeljni nacionalni program za kompetitivno financiranje izobrazbe nov</w:t>
      </w:r>
      <w:r>
        <w:t>ih doktora znanosti u Hrvatskoj. Važno je napomenuti da Zaklada trenutno financira 797 mladih istraživača. Do potrebe za povećanjem sredstava u odnosu na prethodno razdoblje došlo je i zbog uvećanja osnovice za plaću, zbog uvećanje plaća uslijed Odluke VRH</w:t>
      </w:r>
      <w:r>
        <w:t xml:space="preserve"> o isplati privremenog dodatka na plaću državnim službenicima i namještenicima te službenicima i namještenicima u javnim službama, kao i zbog povećanja materijalnih prava sukladno dodatkom Temeljnom kolektivnom ugovoru za službenike i namještenike u javnim</w:t>
      </w:r>
      <w:r>
        <w:t xml:space="preserve"> službama, a što je utjecalo i na povećanje postojećih ugovornih obveza. Važno je također spomenuti da je za razdoblje od 2024.-2026. godine predviđeno i raspisivanje novih natječaja unutar međunarodnih programa.</w:t>
      </w:r>
    </w:p>
    <w:tbl>
      <w:tblPr>
        <w:tblStyle w:val="StilTablice"/>
        <w:tblW w:w="10206" w:type="dxa"/>
        <w:jc w:val="center"/>
        <w:tblLook w:val="04A0" w:firstRow="1" w:lastRow="0" w:firstColumn="1" w:lastColumn="0" w:noHBand="0" w:noVBand="1"/>
      </w:tblPr>
      <w:tblGrid>
        <w:gridCol w:w="1426"/>
        <w:gridCol w:w="1562"/>
        <w:gridCol w:w="1562"/>
        <w:gridCol w:w="1562"/>
        <w:gridCol w:w="1562"/>
        <w:gridCol w:w="1562"/>
        <w:gridCol w:w="970"/>
      </w:tblGrid>
      <w:tr w:rsidR="009520A9">
        <w:trPr>
          <w:jc w:val="center"/>
        </w:trPr>
        <w:tc>
          <w:tcPr>
            <w:tcW w:w="1530" w:type="dxa"/>
            <w:shd w:val="clear" w:color="auto" w:fill="B5C0D8"/>
          </w:tcPr>
          <w:p w:rsidR="009520A9" w:rsidRDefault="009520A9">
            <w:pPr>
              <w:pStyle w:val="CellHeader"/>
              <w:jc w:val="center"/>
            </w:pP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w:t>
            </w:r>
            <w:r>
              <w:rPr>
                <w:rFonts w:cs="Times New Roman"/>
              </w:rPr>
              <w:t xml:space="preserve">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tcPr>
          <w:p w:rsidR="009520A9" w:rsidRDefault="00770482">
            <w:pPr>
              <w:pStyle w:val="CellColumn"/>
              <w:jc w:val="left"/>
            </w:pPr>
            <w:r>
              <w:rPr>
                <w:rFonts w:cs="Times New Roman"/>
              </w:rPr>
              <w:t>52209</w:t>
            </w:r>
          </w:p>
        </w:tc>
        <w:tc>
          <w:tcPr>
            <w:tcW w:w="1632" w:type="dxa"/>
          </w:tcPr>
          <w:p w:rsidR="009520A9" w:rsidRDefault="00770482">
            <w:pPr>
              <w:jc w:val="right"/>
            </w:pPr>
            <w:r>
              <w:t>33.838.008</w:t>
            </w:r>
          </w:p>
        </w:tc>
        <w:tc>
          <w:tcPr>
            <w:tcW w:w="1632" w:type="dxa"/>
          </w:tcPr>
          <w:p w:rsidR="009520A9" w:rsidRDefault="00770482">
            <w:pPr>
              <w:jc w:val="right"/>
            </w:pPr>
            <w:r>
              <w:t>30.656.017</w:t>
            </w:r>
          </w:p>
        </w:tc>
        <w:tc>
          <w:tcPr>
            <w:tcW w:w="1632" w:type="dxa"/>
          </w:tcPr>
          <w:p w:rsidR="009520A9" w:rsidRDefault="00770482">
            <w:pPr>
              <w:jc w:val="right"/>
            </w:pPr>
            <w:r>
              <w:t>45.620.495</w:t>
            </w:r>
          </w:p>
        </w:tc>
        <w:tc>
          <w:tcPr>
            <w:tcW w:w="1632" w:type="dxa"/>
          </w:tcPr>
          <w:p w:rsidR="009520A9" w:rsidRDefault="00770482">
            <w:pPr>
              <w:jc w:val="right"/>
            </w:pPr>
            <w:r>
              <w:t>50.612.228</w:t>
            </w:r>
          </w:p>
        </w:tc>
        <w:tc>
          <w:tcPr>
            <w:tcW w:w="1632" w:type="dxa"/>
          </w:tcPr>
          <w:p w:rsidR="009520A9" w:rsidRDefault="00770482">
            <w:pPr>
              <w:jc w:val="right"/>
            </w:pPr>
            <w:r>
              <w:t>54.157.231</w:t>
            </w:r>
          </w:p>
        </w:tc>
        <w:tc>
          <w:tcPr>
            <w:tcW w:w="510" w:type="dxa"/>
          </w:tcPr>
          <w:p w:rsidR="009520A9" w:rsidRDefault="00770482">
            <w:pPr>
              <w:jc w:val="right"/>
            </w:pPr>
            <w:r>
              <w:t>148,8</w:t>
            </w:r>
          </w:p>
        </w:tc>
      </w:tr>
    </w:tbl>
    <w:p w:rsidR="009520A9" w:rsidRDefault="009520A9">
      <w:pPr>
        <w:jc w:val="left"/>
      </w:pPr>
    </w:p>
    <w:p w:rsidR="009520A9" w:rsidRDefault="00770482">
      <w:pPr>
        <w:pStyle w:val="Heading3"/>
      </w:pPr>
      <w:r>
        <w:rPr>
          <w:rFonts w:cs="Times New Roman"/>
        </w:rPr>
        <w:t>3801 ULAGANJE U ZNANSTVENO ISTRAŽIVAČKU DJELATNOST</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9520A9">
        <w:trPr>
          <w:jc w:val="center"/>
        </w:trPr>
        <w:tc>
          <w:tcPr>
            <w:tcW w:w="1530" w:type="dxa"/>
            <w:shd w:val="clear" w:color="auto" w:fill="B5C0D8"/>
          </w:tcPr>
          <w:p w:rsidR="009520A9" w:rsidRDefault="009520A9">
            <w:pPr>
              <w:pStyle w:val="CellHeader"/>
            </w:pPr>
          </w:p>
        </w:tc>
        <w:tc>
          <w:tcPr>
            <w:tcW w:w="1632" w:type="dxa"/>
            <w:shd w:val="clear" w:color="auto" w:fill="B5C0D8"/>
          </w:tcPr>
          <w:p w:rsidR="009520A9" w:rsidRDefault="00770482">
            <w:pPr>
              <w:pStyle w:val="CellHeader"/>
            </w:pPr>
            <w:r>
              <w:rPr>
                <w:rFonts w:cs="Times New Roman"/>
              </w:rPr>
              <w:t>Izvršenje 2022.</w:t>
            </w:r>
          </w:p>
        </w:tc>
        <w:tc>
          <w:tcPr>
            <w:tcW w:w="1632" w:type="dxa"/>
            <w:shd w:val="clear" w:color="auto" w:fill="B5C0D8"/>
          </w:tcPr>
          <w:p w:rsidR="009520A9" w:rsidRDefault="00770482">
            <w:pPr>
              <w:pStyle w:val="CellHeader"/>
            </w:pPr>
            <w:r>
              <w:rPr>
                <w:rFonts w:cs="Times New Roman"/>
              </w:rPr>
              <w:t>Plan 2023.</w:t>
            </w:r>
          </w:p>
        </w:tc>
        <w:tc>
          <w:tcPr>
            <w:tcW w:w="1632" w:type="dxa"/>
            <w:shd w:val="clear" w:color="auto" w:fill="B5C0D8"/>
          </w:tcPr>
          <w:p w:rsidR="009520A9" w:rsidRDefault="00770482">
            <w:pPr>
              <w:pStyle w:val="CellHeader"/>
            </w:pPr>
            <w:r>
              <w:rPr>
                <w:rFonts w:cs="Times New Roman"/>
              </w:rPr>
              <w:t>Plan 2024.</w:t>
            </w:r>
          </w:p>
        </w:tc>
        <w:tc>
          <w:tcPr>
            <w:tcW w:w="1632" w:type="dxa"/>
            <w:shd w:val="clear" w:color="auto" w:fill="B5C0D8"/>
          </w:tcPr>
          <w:p w:rsidR="009520A9" w:rsidRDefault="00770482">
            <w:pPr>
              <w:pStyle w:val="CellHeader"/>
            </w:pPr>
            <w:r>
              <w:rPr>
                <w:rFonts w:cs="Times New Roman"/>
              </w:rPr>
              <w:t>Plan 2025.</w:t>
            </w:r>
          </w:p>
        </w:tc>
        <w:tc>
          <w:tcPr>
            <w:tcW w:w="1632" w:type="dxa"/>
            <w:shd w:val="clear" w:color="auto" w:fill="B5C0D8"/>
          </w:tcPr>
          <w:p w:rsidR="009520A9" w:rsidRDefault="00770482">
            <w:pPr>
              <w:pStyle w:val="CellHead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3801</w:t>
            </w:r>
          </w:p>
        </w:tc>
        <w:tc>
          <w:tcPr>
            <w:tcW w:w="1632" w:type="dxa"/>
            <w:vAlign w:val="top"/>
          </w:tcPr>
          <w:p w:rsidR="009520A9" w:rsidRDefault="00770482">
            <w:pPr>
              <w:jc w:val="right"/>
            </w:pPr>
            <w:r>
              <w:t>33.838.008</w:t>
            </w:r>
          </w:p>
        </w:tc>
        <w:tc>
          <w:tcPr>
            <w:tcW w:w="1632" w:type="dxa"/>
            <w:vAlign w:val="top"/>
          </w:tcPr>
          <w:p w:rsidR="009520A9" w:rsidRDefault="00770482">
            <w:pPr>
              <w:jc w:val="right"/>
            </w:pPr>
            <w:r>
              <w:t>30.656.017</w:t>
            </w:r>
          </w:p>
        </w:tc>
        <w:tc>
          <w:tcPr>
            <w:tcW w:w="1632" w:type="dxa"/>
            <w:vAlign w:val="top"/>
          </w:tcPr>
          <w:p w:rsidR="009520A9" w:rsidRDefault="00770482">
            <w:pPr>
              <w:jc w:val="right"/>
            </w:pPr>
            <w:r>
              <w:t>45.620.495</w:t>
            </w:r>
          </w:p>
        </w:tc>
        <w:tc>
          <w:tcPr>
            <w:tcW w:w="1632" w:type="dxa"/>
            <w:vAlign w:val="top"/>
          </w:tcPr>
          <w:p w:rsidR="009520A9" w:rsidRDefault="00770482">
            <w:pPr>
              <w:jc w:val="right"/>
            </w:pPr>
            <w:r>
              <w:t>50.612.228</w:t>
            </w:r>
          </w:p>
        </w:tc>
        <w:tc>
          <w:tcPr>
            <w:tcW w:w="1632" w:type="dxa"/>
            <w:vAlign w:val="top"/>
          </w:tcPr>
          <w:p w:rsidR="009520A9" w:rsidRDefault="00770482">
            <w:pPr>
              <w:jc w:val="right"/>
            </w:pPr>
            <w:r>
              <w:t>54.157.231</w:t>
            </w:r>
          </w:p>
        </w:tc>
        <w:tc>
          <w:tcPr>
            <w:tcW w:w="510" w:type="dxa"/>
            <w:vAlign w:val="top"/>
          </w:tcPr>
          <w:p w:rsidR="009520A9" w:rsidRDefault="00770482">
            <w:pPr>
              <w:jc w:val="right"/>
            </w:pPr>
            <w:r>
              <w:t>148,8</w:t>
            </w:r>
          </w:p>
        </w:tc>
      </w:tr>
    </w:tbl>
    <w:p w:rsidR="009520A9" w:rsidRDefault="009520A9">
      <w:pPr>
        <w:jc w:val="left"/>
      </w:pPr>
    </w:p>
    <w:p w:rsidR="009520A9" w:rsidRDefault="00770482">
      <w:pPr>
        <w:pStyle w:val="Heading8"/>
        <w:jc w:val="left"/>
      </w:pPr>
      <w:r>
        <w:t>Cilj 1. Poticanje izvrsnosti i jačanje ljudskih potencijala</w:t>
      </w:r>
    </w:p>
    <w:p w:rsidR="009520A9" w:rsidRDefault="00770482">
      <w:pPr>
        <w:pStyle w:val="Heading8"/>
        <w:jc w:val="left"/>
      </w:pPr>
      <w:r>
        <w:t>Cilj 2. Unaprjeđenje povezanosti i suradnje znanstvene i visokoobrazovne zajednice s inovativnim gospodarstvom i društvom u cjelini</w:t>
      </w:r>
    </w:p>
    <w:p w:rsidR="009520A9" w:rsidRDefault="0077048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učinka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Povećanje ulaganja u znanost i istraživanje kao udio u BDP-u</w:t>
            </w:r>
          </w:p>
        </w:tc>
        <w:tc>
          <w:tcPr>
            <w:tcW w:w="2245" w:type="dxa"/>
            <w:vAlign w:val="top"/>
          </w:tcPr>
          <w:p w:rsidR="009520A9" w:rsidRDefault="00770482">
            <w:pPr>
              <w:pStyle w:val="CellColumn"/>
              <w:jc w:val="left"/>
            </w:pPr>
            <w:r>
              <w:rPr>
                <w:rFonts w:cs="Times New Roman"/>
              </w:rPr>
              <w:t>Povećanje ukupnog izdvajanja za znanost i istraživanje kao udjela u BDP-u</w:t>
            </w:r>
          </w:p>
        </w:tc>
        <w:tc>
          <w:tcPr>
            <w:tcW w:w="918" w:type="dxa"/>
          </w:tcPr>
          <w:p w:rsidR="009520A9" w:rsidRDefault="00770482">
            <w:pPr>
              <w:jc w:val="center"/>
            </w:pPr>
            <w:r>
              <w:t>Postotak</w:t>
            </w:r>
          </w:p>
        </w:tc>
        <w:tc>
          <w:tcPr>
            <w:tcW w:w="918" w:type="dxa"/>
          </w:tcPr>
          <w:p w:rsidR="009520A9" w:rsidRDefault="00770482">
            <w:pPr>
              <w:jc w:val="center"/>
            </w:pPr>
            <w:r>
              <w:t>1,11</w:t>
            </w:r>
          </w:p>
        </w:tc>
        <w:tc>
          <w:tcPr>
            <w:tcW w:w="918" w:type="dxa"/>
          </w:tcPr>
          <w:p w:rsidR="009520A9" w:rsidRDefault="00770482">
            <w:pPr>
              <w:pStyle w:val="CellColumn"/>
              <w:jc w:val="center"/>
            </w:pPr>
            <w:r>
              <w:rPr>
                <w:rFonts w:cs="Times New Roman"/>
              </w:rPr>
              <w:t>Eurostat</w:t>
            </w:r>
          </w:p>
        </w:tc>
        <w:tc>
          <w:tcPr>
            <w:tcW w:w="918" w:type="dxa"/>
          </w:tcPr>
          <w:p w:rsidR="009520A9" w:rsidRDefault="00770482">
            <w:pPr>
              <w:jc w:val="center"/>
            </w:pPr>
            <w:r>
              <w:t>1,5</w:t>
            </w:r>
          </w:p>
        </w:tc>
        <w:tc>
          <w:tcPr>
            <w:tcW w:w="918" w:type="dxa"/>
          </w:tcPr>
          <w:p w:rsidR="009520A9" w:rsidRDefault="00770482">
            <w:pPr>
              <w:jc w:val="center"/>
            </w:pPr>
            <w:r>
              <w:t>2,0</w:t>
            </w:r>
          </w:p>
        </w:tc>
        <w:tc>
          <w:tcPr>
            <w:tcW w:w="918" w:type="dxa"/>
          </w:tcPr>
          <w:p w:rsidR="009520A9" w:rsidRDefault="00770482">
            <w:pPr>
              <w:jc w:val="center"/>
            </w:pPr>
            <w:r>
              <w:t>3,0</w:t>
            </w:r>
          </w:p>
        </w:tc>
      </w:tr>
      <w:tr w:rsidR="009520A9">
        <w:trPr>
          <w:jc w:val="center"/>
        </w:trPr>
        <w:tc>
          <w:tcPr>
            <w:tcW w:w="2245" w:type="dxa"/>
            <w:vAlign w:val="top"/>
          </w:tcPr>
          <w:p w:rsidR="009520A9" w:rsidRDefault="00770482">
            <w:pPr>
              <w:pStyle w:val="CellColumn"/>
              <w:jc w:val="left"/>
            </w:pPr>
            <w:r>
              <w:rPr>
                <w:rFonts w:cs="Times New Roman"/>
              </w:rPr>
              <w:t>Povećanje ulaganja iz privatnoga sektora u znanost i istraživanje kao udjela u BDP-u</w:t>
            </w:r>
          </w:p>
        </w:tc>
        <w:tc>
          <w:tcPr>
            <w:tcW w:w="2245" w:type="dxa"/>
            <w:vAlign w:val="top"/>
          </w:tcPr>
          <w:p w:rsidR="009520A9" w:rsidRDefault="00770482">
            <w:pPr>
              <w:pStyle w:val="CellColumn"/>
              <w:jc w:val="left"/>
            </w:pPr>
            <w:r>
              <w:rPr>
                <w:rFonts w:cs="Times New Roman"/>
              </w:rPr>
              <w:t>Ukupno izdvajanje iz privatnog sektora u znanost i istraživanje kao udio u BDP-u</w:t>
            </w:r>
          </w:p>
        </w:tc>
        <w:tc>
          <w:tcPr>
            <w:tcW w:w="918" w:type="dxa"/>
          </w:tcPr>
          <w:p w:rsidR="009520A9" w:rsidRDefault="00770482">
            <w:pPr>
              <w:jc w:val="center"/>
            </w:pPr>
            <w:r>
              <w:t>Postotak</w:t>
            </w:r>
          </w:p>
        </w:tc>
        <w:tc>
          <w:tcPr>
            <w:tcW w:w="918" w:type="dxa"/>
          </w:tcPr>
          <w:p w:rsidR="009520A9" w:rsidRDefault="00770482">
            <w:pPr>
              <w:jc w:val="center"/>
            </w:pPr>
            <w:r>
              <w:t>0,54</w:t>
            </w:r>
          </w:p>
        </w:tc>
        <w:tc>
          <w:tcPr>
            <w:tcW w:w="918" w:type="dxa"/>
          </w:tcPr>
          <w:p w:rsidR="009520A9" w:rsidRDefault="00770482">
            <w:pPr>
              <w:pStyle w:val="CellColumn"/>
              <w:jc w:val="center"/>
            </w:pPr>
            <w:r>
              <w:rPr>
                <w:rFonts w:cs="Times New Roman"/>
              </w:rPr>
              <w:t>Eurostat</w:t>
            </w:r>
          </w:p>
        </w:tc>
        <w:tc>
          <w:tcPr>
            <w:tcW w:w="918" w:type="dxa"/>
          </w:tcPr>
          <w:p w:rsidR="009520A9" w:rsidRDefault="00770482">
            <w:pPr>
              <w:jc w:val="center"/>
            </w:pPr>
            <w:r>
              <w:t>0,55</w:t>
            </w:r>
          </w:p>
        </w:tc>
        <w:tc>
          <w:tcPr>
            <w:tcW w:w="918" w:type="dxa"/>
          </w:tcPr>
          <w:p w:rsidR="009520A9" w:rsidRDefault="00770482">
            <w:pPr>
              <w:jc w:val="center"/>
            </w:pPr>
            <w:r>
              <w:t>0,56</w:t>
            </w:r>
          </w:p>
        </w:tc>
        <w:tc>
          <w:tcPr>
            <w:tcW w:w="918" w:type="dxa"/>
          </w:tcPr>
          <w:p w:rsidR="009520A9" w:rsidRDefault="00770482">
            <w:pPr>
              <w:jc w:val="center"/>
            </w:pPr>
            <w:r>
              <w:t>0,58</w:t>
            </w:r>
          </w:p>
        </w:tc>
      </w:tr>
    </w:tbl>
    <w:p w:rsidR="009520A9" w:rsidRDefault="009520A9">
      <w:pPr>
        <w:jc w:val="left"/>
      </w:pPr>
    </w:p>
    <w:p w:rsidR="009520A9" w:rsidRDefault="00770482">
      <w:pPr>
        <w:pStyle w:val="Heading4"/>
      </w:pPr>
      <w:r>
        <w:t>A557042 PROGRAM DOKTORANADA I POSLIJEDOKTORANADA HRVATSKE ZAKLADE ZA ZNANOST</w:t>
      </w:r>
    </w:p>
    <w:p w:rsidR="009520A9" w:rsidRDefault="00770482">
      <w:pPr>
        <w:pStyle w:val="Heading8"/>
        <w:jc w:val="left"/>
      </w:pPr>
      <w:r>
        <w:t>Zakonske i druge pravne osnove</w:t>
      </w:r>
    </w:p>
    <w:p w:rsidR="009520A9" w:rsidRDefault="00770482">
      <w:r>
        <w:t>- Zakon o visokom obrazovan</w:t>
      </w:r>
      <w:r>
        <w:t xml:space="preserve">ju i znanstvenoj djelatnosti </w:t>
      </w:r>
    </w:p>
    <w:p w:rsidR="009520A9" w:rsidRDefault="00770482">
      <w:r>
        <w:t xml:space="preserve">- Zakon o Hrvatskoj zakladi za znanost </w:t>
      </w:r>
    </w:p>
    <w:p w:rsidR="009520A9" w:rsidRDefault="00770482">
      <w:r>
        <w:t xml:space="preserve">- Statut Hrvatske zaklade za znanost </w:t>
      </w:r>
    </w:p>
    <w:p w:rsidR="009520A9" w:rsidRDefault="00770482">
      <w:r>
        <w:t xml:space="preserve">- Pravilnik o uvjetima i postupku dodjele sredstava za ostvarivanje svrhe Zaklade </w:t>
      </w:r>
    </w:p>
    <w:p w:rsidR="009520A9" w:rsidRDefault="00770482">
      <w:r>
        <w:t>- Pravilnik o sprječavanju sukoba interesa u postupku vrednovanja</w:t>
      </w:r>
      <w:r>
        <w:t xml:space="preserve"> </w:t>
      </w:r>
    </w:p>
    <w:p w:rsidR="009520A9" w:rsidRDefault="00770482">
      <w:r>
        <w:t xml:space="preserve">- Etički kodeks Hrvatske zaklade za znanost </w:t>
      </w:r>
    </w:p>
    <w:p w:rsidR="009520A9" w:rsidRDefault="00770482">
      <w:r>
        <w:t xml:space="preserve">- Priručnik za vrednovanje prijava na javne pozive Hrvatske zaklade za znanost </w:t>
      </w:r>
    </w:p>
    <w:p w:rsidR="009520A9" w:rsidRDefault="00770482">
      <w:r>
        <w:t xml:space="preserve">- Priručnik za praćenje financiranih projekata </w:t>
      </w:r>
    </w:p>
    <w:p w:rsidR="009520A9" w:rsidRDefault="00770482">
      <w:r>
        <w:t>- Upute za zapošljavanje asistenata i viših asistenata na projekte Hrvatske zaklade za znanost</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A557042</w:t>
            </w:r>
          </w:p>
        </w:tc>
        <w:tc>
          <w:tcPr>
            <w:tcW w:w="1632" w:type="dxa"/>
            <w:vAlign w:val="top"/>
          </w:tcPr>
          <w:p w:rsidR="009520A9" w:rsidRDefault="00770482">
            <w:pPr>
              <w:jc w:val="right"/>
            </w:pPr>
            <w:r>
              <w:t>11.164.053</w:t>
            </w:r>
          </w:p>
        </w:tc>
        <w:tc>
          <w:tcPr>
            <w:tcW w:w="1632" w:type="dxa"/>
            <w:vAlign w:val="top"/>
          </w:tcPr>
          <w:p w:rsidR="009520A9" w:rsidRDefault="00770482">
            <w:pPr>
              <w:jc w:val="right"/>
            </w:pPr>
            <w:r>
              <w:t>12.197.891</w:t>
            </w:r>
          </w:p>
        </w:tc>
        <w:tc>
          <w:tcPr>
            <w:tcW w:w="1632" w:type="dxa"/>
            <w:vAlign w:val="top"/>
          </w:tcPr>
          <w:p w:rsidR="009520A9" w:rsidRDefault="00770482">
            <w:pPr>
              <w:jc w:val="right"/>
            </w:pPr>
            <w:r>
              <w:t>10.723.934</w:t>
            </w:r>
          </w:p>
        </w:tc>
        <w:tc>
          <w:tcPr>
            <w:tcW w:w="1632" w:type="dxa"/>
            <w:vAlign w:val="top"/>
          </w:tcPr>
          <w:p w:rsidR="009520A9" w:rsidRDefault="00770482">
            <w:pPr>
              <w:jc w:val="right"/>
            </w:pPr>
            <w:r>
              <w:t>13.874.000</w:t>
            </w:r>
          </w:p>
        </w:tc>
        <w:tc>
          <w:tcPr>
            <w:tcW w:w="1632" w:type="dxa"/>
            <w:vAlign w:val="top"/>
          </w:tcPr>
          <w:p w:rsidR="009520A9" w:rsidRDefault="00770482">
            <w:pPr>
              <w:jc w:val="right"/>
            </w:pPr>
            <w:r>
              <w:t>16.440.000</w:t>
            </w:r>
          </w:p>
        </w:tc>
        <w:tc>
          <w:tcPr>
            <w:tcW w:w="510" w:type="dxa"/>
            <w:vAlign w:val="top"/>
          </w:tcPr>
          <w:p w:rsidR="009520A9" w:rsidRDefault="00770482">
            <w:pPr>
              <w:jc w:val="right"/>
            </w:pPr>
            <w:r>
              <w:t>87,9</w:t>
            </w:r>
          </w:p>
        </w:tc>
      </w:tr>
    </w:tbl>
    <w:p w:rsidR="009520A9" w:rsidRDefault="009520A9">
      <w:pPr>
        <w:jc w:val="left"/>
      </w:pPr>
    </w:p>
    <w:p w:rsidR="009520A9" w:rsidRDefault="00770482">
      <w:r>
        <w:t xml:space="preserve">Ova aktivnost sastoji se od sljedećih elemenata: isplate plaća mladim istraživačima zaposlenim na znanstveno-istraživačkim ustanovama u Republici Hrvatskoj, te sredstva za planirane buduće natječaje za financiranje plaća mladim istraživačima. </w:t>
      </w:r>
    </w:p>
    <w:p w:rsidR="009520A9" w:rsidRDefault="00770482">
      <w:r>
        <w:t>Izrač</w:t>
      </w:r>
      <w:r>
        <w:t xml:space="preserve">un financijskog plana: </w:t>
      </w:r>
    </w:p>
    <w:p w:rsidR="009520A9" w:rsidRDefault="00770482">
      <w:r>
        <w:t xml:space="preserve">Planirani broj zaposlenih asistenata u 2024.g. x iznos prosječne mjesečne plaće x 12 mjeseci + ostali rashodi za  zaposlene=10.723.934 eura </w:t>
      </w:r>
    </w:p>
    <w:p w:rsidR="009520A9" w:rsidRDefault="00770482">
      <w:r>
        <w:t>Broj zaposlenih asistenata u 2025.g. x iznos prosječne mjesečne plaće x 12 mjeseci + ostali</w:t>
      </w:r>
      <w:r>
        <w:t xml:space="preserve"> rashodi za  zaposlene=13.874.000 eura. </w:t>
      </w:r>
    </w:p>
    <w:p w:rsidR="009520A9" w:rsidRDefault="00770482">
      <w:r>
        <w:t xml:space="preserve">Broj zaposlenih asistenata u 2026.g. x iznos prosječne mjesečne plaće x 12 mjeseci + ostali rashodi za  zaposlene=16.440.000 eura </w:t>
      </w:r>
    </w:p>
    <w:p w:rsidR="009520A9" w:rsidRDefault="00770482">
      <w:r>
        <w:t xml:space="preserve"> </w:t>
      </w:r>
    </w:p>
    <w:p w:rsidR="009520A9" w:rsidRDefault="00770482">
      <w:r>
        <w:t>Cilj ovog Programa je znanstveno aktivnim mentorima koji se bave međunarodno i/ili</w:t>
      </w:r>
      <w:r>
        <w:t xml:space="preserve"> nacionalno značajnom problematikom omogućiti da u svoje znanstvene projekte uključe mlade istraživače-asistente i više asistente koji žele sudjelovati u znanstveno-istraživačkom radu te na taj način usmjeriti njihovu karijeru prema vrhunskoj znanosti.</w:t>
      </w:r>
    </w:p>
    <w:p w:rsidR="009520A9" w:rsidRDefault="00770482">
      <w:pPr>
        <w:pStyle w:val="Heading8"/>
        <w:jc w:val="left"/>
      </w:pPr>
      <w:r>
        <w:t>Pok</w:t>
      </w:r>
      <w:r>
        <w:t>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ukupno zaposlenih asistenata</w:t>
            </w:r>
          </w:p>
        </w:tc>
        <w:tc>
          <w:tcPr>
            <w:tcW w:w="2245" w:type="dxa"/>
            <w:vAlign w:val="top"/>
          </w:tcPr>
          <w:p w:rsidR="009520A9" w:rsidRDefault="00770482">
            <w:pPr>
              <w:pStyle w:val="CellColumn"/>
              <w:jc w:val="left"/>
            </w:pPr>
            <w:r>
              <w:rPr>
                <w:rFonts w:cs="Times New Roman"/>
              </w:rPr>
              <w:t>Broj asistenata koji se zapošljavaju na znanstveno-istraživačkim institucijama</w:t>
            </w:r>
          </w:p>
        </w:tc>
        <w:tc>
          <w:tcPr>
            <w:tcW w:w="918" w:type="dxa"/>
          </w:tcPr>
          <w:p w:rsidR="009520A9" w:rsidRDefault="00770482">
            <w:pPr>
              <w:jc w:val="center"/>
            </w:pPr>
            <w:r>
              <w:t>Broj</w:t>
            </w:r>
          </w:p>
        </w:tc>
        <w:tc>
          <w:tcPr>
            <w:tcW w:w="918" w:type="dxa"/>
          </w:tcPr>
          <w:p w:rsidR="009520A9" w:rsidRDefault="00770482">
            <w:pPr>
              <w:jc w:val="center"/>
            </w:pPr>
            <w:r>
              <w:t>560</w:t>
            </w:r>
          </w:p>
        </w:tc>
        <w:tc>
          <w:tcPr>
            <w:tcW w:w="918" w:type="dxa"/>
          </w:tcPr>
          <w:p w:rsidR="009520A9" w:rsidRDefault="00770482">
            <w:pPr>
              <w:pStyle w:val="CellColumn"/>
              <w:jc w:val="center"/>
            </w:pPr>
            <w:r>
              <w:rPr>
                <w:rFonts w:cs="Times New Roman"/>
              </w:rPr>
              <w:t>Baza HRZZ projekata</w:t>
            </w:r>
          </w:p>
        </w:tc>
        <w:tc>
          <w:tcPr>
            <w:tcW w:w="918" w:type="dxa"/>
          </w:tcPr>
          <w:p w:rsidR="009520A9" w:rsidRDefault="00770482">
            <w:pPr>
              <w:jc w:val="center"/>
            </w:pPr>
            <w:r>
              <w:t>540</w:t>
            </w:r>
          </w:p>
        </w:tc>
        <w:tc>
          <w:tcPr>
            <w:tcW w:w="918" w:type="dxa"/>
          </w:tcPr>
          <w:p w:rsidR="009520A9" w:rsidRDefault="00770482">
            <w:pPr>
              <w:jc w:val="center"/>
            </w:pPr>
            <w:r>
              <w:t>690</w:t>
            </w:r>
          </w:p>
        </w:tc>
        <w:tc>
          <w:tcPr>
            <w:tcW w:w="918" w:type="dxa"/>
          </w:tcPr>
          <w:p w:rsidR="009520A9" w:rsidRDefault="00770482">
            <w:pPr>
              <w:jc w:val="center"/>
            </w:pPr>
            <w:r>
              <w:t>570</w:t>
            </w:r>
          </w:p>
        </w:tc>
      </w:tr>
      <w:tr w:rsidR="009520A9">
        <w:trPr>
          <w:jc w:val="center"/>
        </w:trPr>
        <w:tc>
          <w:tcPr>
            <w:tcW w:w="2245" w:type="dxa"/>
            <w:vAlign w:val="top"/>
          </w:tcPr>
          <w:p w:rsidR="009520A9" w:rsidRDefault="00770482">
            <w:pPr>
              <w:pStyle w:val="CellColumn"/>
              <w:jc w:val="left"/>
            </w:pPr>
            <w:r>
              <w:rPr>
                <w:rFonts w:cs="Times New Roman"/>
              </w:rPr>
              <w:t>Broj novih doktora znanosti</w:t>
            </w:r>
          </w:p>
        </w:tc>
        <w:tc>
          <w:tcPr>
            <w:tcW w:w="2245" w:type="dxa"/>
            <w:vAlign w:val="top"/>
          </w:tcPr>
          <w:p w:rsidR="009520A9" w:rsidRDefault="00770482">
            <w:pPr>
              <w:pStyle w:val="CellColumn"/>
              <w:jc w:val="left"/>
            </w:pPr>
            <w:r>
              <w:rPr>
                <w:rFonts w:cs="Times New Roman"/>
              </w:rPr>
              <w:t>Broj doktoranada koji su uspješno obranili doktorsku disertaciju</w:t>
            </w:r>
          </w:p>
        </w:tc>
        <w:tc>
          <w:tcPr>
            <w:tcW w:w="918" w:type="dxa"/>
          </w:tcPr>
          <w:p w:rsidR="009520A9" w:rsidRDefault="00770482">
            <w:pPr>
              <w:jc w:val="center"/>
            </w:pPr>
            <w:r>
              <w:t>Broj</w:t>
            </w:r>
          </w:p>
        </w:tc>
        <w:tc>
          <w:tcPr>
            <w:tcW w:w="918" w:type="dxa"/>
          </w:tcPr>
          <w:p w:rsidR="009520A9" w:rsidRDefault="00770482">
            <w:pPr>
              <w:jc w:val="center"/>
            </w:pPr>
            <w:r>
              <w:t>75</w:t>
            </w:r>
          </w:p>
        </w:tc>
        <w:tc>
          <w:tcPr>
            <w:tcW w:w="918" w:type="dxa"/>
          </w:tcPr>
          <w:p w:rsidR="009520A9" w:rsidRDefault="00770482">
            <w:pPr>
              <w:pStyle w:val="CellColumn"/>
              <w:jc w:val="center"/>
            </w:pPr>
            <w:r>
              <w:rPr>
                <w:rFonts w:cs="Times New Roman"/>
              </w:rPr>
              <w:t>Baza HRZZ projekata</w:t>
            </w:r>
          </w:p>
        </w:tc>
        <w:tc>
          <w:tcPr>
            <w:tcW w:w="918" w:type="dxa"/>
          </w:tcPr>
          <w:p w:rsidR="009520A9" w:rsidRDefault="00770482">
            <w:pPr>
              <w:jc w:val="center"/>
            </w:pPr>
            <w:r>
              <w:t>100</w:t>
            </w:r>
          </w:p>
        </w:tc>
        <w:tc>
          <w:tcPr>
            <w:tcW w:w="918" w:type="dxa"/>
          </w:tcPr>
          <w:p w:rsidR="009520A9" w:rsidRDefault="00770482">
            <w:pPr>
              <w:jc w:val="center"/>
            </w:pPr>
            <w:r>
              <w:t>130</w:t>
            </w:r>
          </w:p>
        </w:tc>
        <w:tc>
          <w:tcPr>
            <w:tcW w:w="918" w:type="dxa"/>
          </w:tcPr>
          <w:p w:rsidR="009520A9" w:rsidRDefault="00770482">
            <w:pPr>
              <w:jc w:val="center"/>
            </w:pPr>
            <w:r>
              <w:t>150</w:t>
            </w:r>
          </w:p>
        </w:tc>
      </w:tr>
      <w:tr w:rsidR="009520A9">
        <w:trPr>
          <w:jc w:val="center"/>
        </w:trPr>
        <w:tc>
          <w:tcPr>
            <w:tcW w:w="2245" w:type="dxa"/>
            <w:vAlign w:val="top"/>
          </w:tcPr>
          <w:p w:rsidR="009520A9" w:rsidRDefault="00770482">
            <w:pPr>
              <w:pStyle w:val="CellColumn"/>
              <w:jc w:val="left"/>
            </w:pPr>
            <w:r>
              <w:rPr>
                <w:rFonts w:cs="Times New Roman"/>
              </w:rPr>
              <w:t>Broj novozaposlenih asistenata</w:t>
            </w:r>
          </w:p>
        </w:tc>
        <w:tc>
          <w:tcPr>
            <w:tcW w:w="2245" w:type="dxa"/>
            <w:vAlign w:val="top"/>
          </w:tcPr>
          <w:p w:rsidR="009520A9" w:rsidRDefault="00770482">
            <w:pPr>
              <w:pStyle w:val="CellColumn"/>
              <w:jc w:val="left"/>
            </w:pPr>
            <w:r>
              <w:rPr>
                <w:rFonts w:cs="Times New Roman"/>
              </w:rPr>
              <w:t>Broj asistenata koji se zapošljavaju na znanstveno-istraživačkim institucijama u okviru novih natječaja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Baza HRZZ projekata</w:t>
            </w:r>
          </w:p>
        </w:tc>
        <w:tc>
          <w:tcPr>
            <w:tcW w:w="918" w:type="dxa"/>
          </w:tcPr>
          <w:p w:rsidR="009520A9" w:rsidRDefault="00770482">
            <w:pPr>
              <w:jc w:val="center"/>
            </w:pPr>
            <w:r>
              <w:t>0</w:t>
            </w:r>
          </w:p>
        </w:tc>
        <w:tc>
          <w:tcPr>
            <w:tcW w:w="918" w:type="dxa"/>
          </w:tcPr>
          <w:p w:rsidR="009520A9" w:rsidRDefault="00770482">
            <w:pPr>
              <w:jc w:val="center"/>
            </w:pPr>
            <w:r>
              <w:t>250</w:t>
            </w:r>
          </w:p>
        </w:tc>
        <w:tc>
          <w:tcPr>
            <w:tcW w:w="918" w:type="dxa"/>
          </w:tcPr>
          <w:p w:rsidR="009520A9" w:rsidRDefault="00770482">
            <w:pPr>
              <w:jc w:val="center"/>
            </w:pPr>
            <w:r>
              <w:t>220</w:t>
            </w:r>
          </w:p>
        </w:tc>
      </w:tr>
      <w:tr w:rsidR="009520A9">
        <w:trPr>
          <w:jc w:val="center"/>
        </w:trPr>
        <w:tc>
          <w:tcPr>
            <w:tcW w:w="2245" w:type="dxa"/>
            <w:vAlign w:val="top"/>
          </w:tcPr>
          <w:p w:rsidR="009520A9" w:rsidRDefault="00770482">
            <w:pPr>
              <w:pStyle w:val="CellColumn"/>
              <w:jc w:val="left"/>
            </w:pPr>
            <w:r>
              <w:rPr>
                <w:rFonts w:cs="Times New Roman"/>
              </w:rPr>
              <w:t>Broj novozaposlenih viših asistenata</w:t>
            </w:r>
          </w:p>
        </w:tc>
        <w:tc>
          <w:tcPr>
            <w:tcW w:w="2245" w:type="dxa"/>
            <w:vAlign w:val="top"/>
          </w:tcPr>
          <w:p w:rsidR="009520A9" w:rsidRDefault="00770482">
            <w:pPr>
              <w:pStyle w:val="CellColumn"/>
              <w:jc w:val="left"/>
            </w:pPr>
            <w:r>
              <w:rPr>
                <w:rFonts w:cs="Times New Roman"/>
              </w:rPr>
              <w:t>Broj viših asistenata koji se zapošljavaju na znanstveno-istraživačkim institucijama u okviru novih natječaja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Baza HRZZ projekata</w:t>
            </w:r>
          </w:p>
        </w:tc>
        <w:tc>
          <w:tcPr>
            <w:tcW w:w="918" w:type="dxa"/>
          </w:tcPr>
          <w:p w:rsidR="009520A9" w:rsidRDefault="00770482">
            <w:pPr>
              <w:jc w:val="center"/>
            </w:pPr>
            <w:r>
              <w:t>0</w:t>
            </w:r>
          </w:p>
        </w:tc>
        <w:tc>
          <w:tcPr>
            <w:tcW w:w="918" w:type="dxa"/>
          </w:tcPr>
          <w:p w:rsidR="009520A9" w:rsidRDefault="00770482">
            <w:pPr>
              <w:jc w:val="center"/>
            </w:pPr>
            <w:r>
              <w:t>70</w:t>
            </w:r>
          </w:p>
        </w:tc>
        <w:tc>
          <w:tcPr>
            <w:tcW w:w="918" w:type="dxa"/>
          </w:tcPr>
          <w:p w:rsidR="009520A9" w:rsidRDefault="00770482">
            <w:pPr>
              <w:jc w:val="center"/>
            </w:pPr>
            <w:r>
              <w:t>50</w:t>
            </w:r>
          </w:p>
        </w:tc>
      </w:tr>
    </w:tbl>
    <w:p w:rsidR="009520A9" w:rsidRDefault="009520A9">
      <w:pPr>
        <w:jc w:val="left"/>
      </w:pPr>
    </w:p>
    <w:p w:rsidR="009520A9" w:rsidRDefault="00770482">
      <w:pPr>
        <w:pStyle w:val="Heading4"/>
      </w:pPr>
      <w:r>
        <w:t>A578069 ADMINISTRACIJA I UPRAVLJANJE HRVATSKE ZAKLADE ZA ZNANOST</w:t>
      </w:r>
    </w:p>
    <w:p w:rsidR="009520A9" w:rsidRDefault="00770482">
      <w:pPr>
        <w:pStyle w:val="Heading8"/>
        <w:jc w:val="left"/>
      </w:pPr>
      <w:r>
        <w:t>Zakonske i druge pravne osnove</w:t>
      </w:r>
    </w:p>
    <w:p w:rsidR="009520A9" w:rsidRDefault="00770482">
      <w:r>
        <w:t>- Zakon o Hrv</w:t>
      </w:r>
      <w:r>
        <w:t xml:space="preserve">atskoj zakladi za znanost </w:t>
      </w:r>
    </w:p>
    <w:p w:rsidR="009520A9" w:rsidRDefault="00770482">
      <w:r>
        <w:t xml:space="preserve">- Statut Hrvatske zaklade za znanost </w:t>
      </w:r>
    </w:p>
    <w:p w:rsidR="009520A9" w:rsidRDefault="00770482">
      <w:r>
        <w:t xml:space="preserve">- Pravilnik o unutarnjem redu Hrvatske zaklade za znanost </w:t>
      </w:r>
    </w:p>
    <w:p w:rsidR="009520A9" w:rsidRDefault="00770482">
      <w:r>
        <w:t xml:space="preserve">- Pravilnik o radu Hrvatske zaklade za znanost </w:t>
      </w:r>
    </w:p>
    <w:p w:rsidR="009520A9" w:rsidRDefault="00770482">
      <w:r>
        <w:t xml:space="preserve">- Pravilnik o provedbi jednostavne nabave roba, usluga i radova Hrvatske zaklade za </w:t>
      </w:r>
      <w:r>
        <w:t>znanost</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A578069</w:t>
            </w:r>
          </w:p>
        </w:tc>
        <w:tc>
          <w:tcPr>
            <w:tcW w:w="1632" w:type="dxa"/>
            <w:vAlign w:val="top"/>
          </w:tcPr>
          <w:p w:rsidR="009520A9" w:rsidRDefault="00770482">
            <w:pPr>
              <w:jc w:val="right"/>
            </w:pPr>
            <w:r>
              <w:t>1.102.870</w:t>
            </w:r>
          </w:p>
        </w:tc>
        <w:tc>
          <w:tcPr>
            <w:tcW w:w="1632" w:type="dxa"/>
            <w:vAlign w:val="top"/>
          </w:tcPr>
          <w:p w:rsidR="009520A9" w:rsidRDefault="00770482">
            <w:pPr>
              <w:jc w:val="right"/>
            </w:pPr>
            <w:r>
              <w:t>1.681.521</w:t>
            </w:r>
          </w:p>
        </w:tc>
        <w:tc>
          <w:tcPr>
            <w:tcW w:w="1632" w:type="dxa"/>
            <w:vAlign w:val="top"/>
          </w:tcPr>
          <w:p w:rsidR="009520A9" w:rsidRDefault="00770482">
            <w:pPr>
              <w:jc w:val="right"/>
            </w:pPr>
            <w:r>
              <w:t>2.379.210</w:t>
            </w:r>
          </w:p>
        </w:tc>
        <w:tc>
          <w:tcPr>
            <w:tcW w:w="1632" w:type="dxa"/>
            <w:vAlign w:val="top"/>
          </w:tcPr>
          <w:p w:rsidR="009520A9" w:rsidRDefault="00770482">
            <w:pPr>
              <w:jc w:val="right"/>
            </w:pPr>
            <w:r>
              <w:t>2.545.864</w:t>
            </w:r>
          </w:p>
        </w:tc>
        <w:tc>
          <w:tcPr>
            <w:tcW w:w="1632" w:type="dxa"/>
            <w:vAlign w:val="top"/>
          </w:tcPr>
          <w:p w:rsidR="009520A9" w:rsidRDefault="00770482">
            <w:pPr>
              <w:jc w:val="right"/>
            </w:pPr>
            <w:r>
              <w:t>2.377.867</w:t>
            </w:r>
          </w:p>
        </w:tc>
        <w:tc>
          <w:tcPr>
            <w:tcW w:w="510" w:type="dxa"/>
            <w:vAlign w:val="top"/>
          </w:tcPr>
          <w:p w:rsidR="009520A9" w:rsidRDefault="00770482">
            <w:pPr>
              <w:jc w:val="right"/>
            </w:pPr>
            <w:r>
              <w:t>141,5</w:t>
            </w:r>
          </w:p>
        </w:tc>
      </w:tr>
    </w:tbl>
    <w:p w:rsidR="009520A9" w:rsidRDefault="009520A9">
      <w:pPr>
        <w:jc w:val="left"/>
      </w:pPr>
    </w:p>
    <w:p w:rsidR="009520A9" w:rsidRDefault="00770482">
      <w:r>
        <w:t xml:space="preserve">Ova aktivnost sastoji se od sljedećih elemenata: </w:t>
      </w:r>
    </w:p>
    <w:p w:rsidR="009520A9" w:rsidRDefault="00770482">
      <w:r>
        <w:t xml:space="preserve">- Rashodi za zaposlene, materijalni rashodi, financijski rashodi, pomoći  dane u inozemstvo i unutar općeg proračuna,  rashodi za nabavu neproizvedene dugotrajne imovine te rashodi za nabavu neproizvedene dugotrajne imovine. </w:t>
      </w:r>
    </w:p>
    <w:p w:rsidR="009520A9" w:rsidRDefault="00770482">
      <w:r>
        <w:t>Ova aktivnost se provodi svake</w:t>
      </w:r>
      <w:r>
        <w:t xml:space="preserve"> godine.   </w:t>
      </w:r>
    </w:p>
    <w:p w:rsidR="009520A9" w:rsidRDefault="00770482">
      <w:r>
        <w:t xml:space="preserve">Izračun financijskog plana: </w:t>
      </w:r>
    </w:p>
    <w:p w:rsidR="009520A9" w:rsidRDefault="00770482">
      <w:r>
        <w:t xml:space="preserve">1. Rashodi za zaposlene </w:t>
      </w:r>
    </w:p>
    <w:p w:rsidR="009520A9" w:rsidRDefault="00770482">
      <w:r>
        <w:t xml:space="preserve">Planirani broj zaposlenih u 2024.g. x iznos prosječne mjesečne plaće x 12 mjeseci + ostali rashodi za  zaposlene=1.208.974 eura.  </w:t>
      </w:r>
    </w:p>
    <w:p w:rsidR="009520A9" w:rsidRDefault="00770482">
      <w:r>
        <w:t xml:space="preserve">Broj zaposlenih u 2025.g. x iznos prosječne mjesečne plaće </w:t>
      </w:r>
      <w:r>
        <w:t xml:space="preserve">x 12 mjeseci + ostali rashodi za  zaposlene=1.212.681 eura </w:t>
      </w:r>
    </w:p>
    <w:p w:rsidR="009520A9" w:rsidRDefault="00770482">
      <w:r>
        <w:t xml:space="preserve">Broj zaposlenih u 2026.g. x iznos prosječne mjesečne plaće x 12 mjeseci + ostali rashodi za  zaposlene=1.213.347 eura </w:t>
      </w:r>
    </w:p>
    <w:p w:rsidR="009520A9" w:rsidRDefault="00770482">
      <w:r>
        <w:t>Potrebno je spomenuti da će Zaklada u planiranom razdoblju provoditi nove programe u okviru Nacionalnog plana oporavka i otpornosti 2021.-2026., stoga se očekuje porast radnih mjesta sukladno Akcijskom planu za osiguravanje administrativnih kapaciteta Hrva</w:t>
      </w:r>
      <w:r>
        <w:t xml:space="preserve">tske zaklade za znanost i Pravilnikom o unutarnjem redu Hrvatske zaklade za znanost.  </w:t>
      </w:r>
    </w:p>
    <w:p w:rsidR="009520A9" w:rsidRDefault="00770482">
      <w:r>
        <w:t xml:space="preserve">2. Materijalni rashodi </w:t>
      </w:r>
    </w:p>
    <w:p w:rsidR="009520A9" w:rsidRDefault="00770482">
      <w:r>
        <w:t>Materijalni rashodi planirani su u 2024. godini  u iznosu od 1.028.378 eura, u 2025. godini u iznosu od 1.141.380 eura, te u 2026. godini u iznos</w:t>
      </w:r>
      <w:r>
        <w:t xml:space="preserve">u od 1.042.098 eura. Procjena materijalnih rashoda prati planirano povećanje broja zaposlenika Zaklade kao i planirane aktivnosti koje će Zaklada provoditi u sljedećim godinama, te rast cijena svih troškova zbog porasta inflacije. </w:t>
      </w:r>
    </w:p>
    <w:p w:rsidR="009520A9" w:rsidRDefault="00770482">
      <w:r>
        <w:t>Materijalni rashodi obuh</w:t>
      </w:r>
      <w:r>
        <w:t xml:space="preserve">vaćaju: naknade troškova zaposlenicima, rashode za materijal i energiju, rashode za usluge, naknade troškova osobama izvan radnog odnosa te ostale nespomenute rashode poslovanja. Najznačajnija kategorija su rashodi za usluge koji predstavljaju 64% ukupnih </w:t>
      </w:r>
      <w:r>
        <w:t>materijalnih rashoda u 2024. godini, 65% u 2025. godini, te 62% u 2026. godini. Rashodi za usluge obuhvaćaju isplate autorskih naknada i naknada temeljem ugovora o djelu za nacionalne vrednovatelje i neovisne stručnjake Zaklade zadužene za praćenje i vredn</w:t>
      </w:r>
      <w:r>
        <w:t>ovanje financiranih projekata i doktoranada Zaklade, kao i naknade putnih troškova vanjskim suradnicima Zaklade zaduženima za vrednovanje projektnih prijedloga u sklopu natječaja za financiranje novih znanstveno-istraživačkih projekata Zaklade. Uz navedene</w:t>
      </w:r>
      <w:r>
        <w:t>, rashodi za usluge obuhvaćaju i usluge telefona, pošte i interneta, usluge tekućeg održavanja, usluge promidžbe i informiranja, komunalne usluge, zakupnine i najamnine, zdravstvene i veterinarske usluge, te računalne usluge koje se odnose na održavanja po</w:t>
      </w:r>
      <w:r>
        <w:t>stojeće informatičke opreme i sustava, održavanja knjigovodstvenog programa Zaklade, razvoja, dorade i održavanja Elektroničkog sustava za prijavu projekata, razvoja, dorade i održavanja Elektroničkog sustava za praćenje odobrenih projekata, održavanja mre</w:t>
      </w:r>
      <w:r>
        <w:t xml:space="preserve">žne stranice Zaklade, održavanja sustava za urudžbiranje, te usluge Financijske agencije za e-paket digitalnog certifikata i e-računa. Važno je spomenuti da je, zbog predviđenog porasta broja zaposlenika i aktivnosti koje će Zaklada provoditi, u razdoblju </w:t>
      </w:r>
      <w:r>
        <w:t xml:space="preserve">od 2024. do 2026. godine planirano preseljenje ureda u Zagrebu u prikladniji poslovni prostor. </w:t>
      </w:r>
    </w:p>
    <w:p w:rsidR="009520A9" w:rsidRDefault="00770482">
      <w:r>
        <w:t>3. Financijski rashodi uključuju bankovne naknade i usluge platnog prometa, te troškove zateznih kamata, a planirani su na temelju istovrsnih troškova ostvareni</w:t>
      </w:r>
      <w:r>
        <w:t xml:space="preserve">h prethodnih godina, te su za sve tri godine  planirani u istom iznosu od 478 eura. </w:t>
      </w:r>
    </w:p>
    <w:p w:rsidR="009520A9" w:rsidRDefault="00770482">
      <w:r>
        <w:t xml:space="preserve">4. Pomoći dane u inozemstvo i unutar općeg proračuna u iznosu od 1.000 eura se odnose na troškove sufinanciranja održavanja mrežne stranice za Weave inicijativu. </w:t>
      </w:r>
    </w:p>
    <w:p w:rsidR="009520A9" w:rsidRDefault="00770482">
      <w:r>
        <w:t>5. Rasho</w:t>
      </w:r>
      <w:r>
        <w:t>di za nabavu neproizvedene dugotrajne imovine obuhvaćaju ulaganje na tuđoj imovini radi prava korištenja, a planirani su u iznosu od 8.000 eura za sve tri godine. Navedena sredstva su planirana s obzirom na planirano preseljenje u prikladniji poslovni pros</w:t>
      </w:r>
      <w:r>
        <w:t xml:space="preserve">tor. </w:t>
      </w:r>
    </w:p>
    <w:p w:rsidR="009520A9" w:rsidRDefault="00770482">
      <w:r>
        <w:t>6. Rashodi za nabavu proizvedene dugotrajne imovine uključuju nabavu uredske opreme i namještaja, komunikacijske opreme te ulaganja u računalne programe. Procjena prati planirano povećanje broja zaposlenih i broja aktivnosti koje će Zaklada provoditi</w:t>
      </w:r>
      <w:r>
        <w:t>, a iznosi su: 132.380 eura u 2024. godini, 182.325 eura u 2025. godini i 112.944. godini. U 2024. godini od ukupno planiranih sredstava 17% je planirano za nabavu računala i računalne opreme, 25% za nabavu uredskog namještaja, 3% za ostalu uredsku opremu,</w:t>
      </w:r>
      <w:r>
        <w:t xml:space="preserve"> 3% za komunikacijsku opremu, te 52 % za ulaganja u računalne programe. U 2025. godini od ukupno planiranih sredstava 10% je planirano za nabavu računala i računalne opreme, 11% za nabavu uredskog namještaja, 1% za ostalu uredsku opremu, 2% za komunikacijs</w:t>
      </w:r>
      <w:r>
        <w:t xml:space="preserve">ku opremu, te 76 % za ulaganja u računalne programe. U 2026. godini od ukupno planiranih sredstava 16% je planirano za nabavu računala i računalne opreme, 18% za nabavu uredskog namještaja, 2% za ostalu uredsku opremu, 3% za komunikacijsku opremu, te 61 % </w:t>
      </w:r>
      <w:r>
        <w:t>za ulaganja u računalne programe. Ulaganje u računalne programe odnosi se na nabavu novog Elektroničkog sustava za prijavu i praćenje projekata. S obzirom da je postojeći elektronički sustav zastario, ne podržava veliki broj projekata koji Zaklada trenutno</w:t>
      </w:r>
      <w:r>
        <w:t xml:space="preserve"> financira kao niti broj korisnika koji se koriste sustavom, a Zakladu u narednom razdoblju očekuje praćenje provedbe većeg broja novih programa, novi elektronički sustav je neophodan za daljnje nesmetano poslovanje Zaklade.</w:t>
      </w:r>
    </w:p>
    <w:p w:rsidR="009520A9" w:rsidRDefault="00770482">
      <w:pPr>
        <w:pStyle w:val="Heading4"/>
      </w:pPr>
      <w:r>
        <w:t>A578072 OBZOR ERA-NET CHANSE</w:t>
      </w:r>
    </w:p>
    <w:p w:rsidR="009520A9" w:rsidRDefault="00770482">
      <w:pPr>
        <w:pStyle w:val="Heading8"/>
        <w:jc w:val="left"/>
      </w:pPr>
      <w:r>
        <w:t>Za</w:t>
      </w:r>
      <w:r>
        <w:t>konske i druge pravne osnove</w:t>
      </w:r>
    </w:p>
    <w:p w:rsidR="009520A9" w:rsidRDefault="00770482">
      <w:r>
        <w:t xml:space="preserve">- Uredba (EU) br. 1291/2013 Europskog parlamenta i Vijeća od 11- prosinca 2013. o osnivanju Okvirnog programa za istraživanja i inovacije Obzor 2020. (2014.-2020.)i o stavljanju van snage Odluke br. 1982/2006EZ </w:t>
      </w:r>
    </w:p>
    <w:p w:rsidR="009520A9" w:rsidRDefault="00770482">
      <w:r>
        <w:t>- Ugovor o dodj</w:t>
      </w:r>
      <w:r>
        <w:t xml:space="preserve">eli bespovratnih sredstava između Europske komisije i konzorcija Chanse (101004509 — CHANSE — H2020-SC6-TRANSFORMATIONS-2018-2019-2020 / H2020-SC6-TRANSFORMATIONS-2020) </w:t>
      </w:r>
    </w:p>
    <w:p w:rsidR="009520A9" w:rsidRDefault="00770482">
      <w:r>
        <w:t xml:space="preserve">- Konzorcijski ugovor Chanse Cofund </w:t>
      </w:r>
    </w:p>
    <w:p w:rsidR="009520A9" w:rsidRDefault="00770482">
      <w:r>
        <w:t>- Ugovor o dodjeli sredstava broj 101004509 – Chanse</w:t>
      </w:r>
    </w:p>
    <w:tbl>
      <w:tblPr>
        <w:tblStyle w:val="StilTablice"/>
        <w:tblW w:w="10206" w:type="dxa"/>
        <w:jc w:val="center"/>
        <w:tblLook w:val="04A0" w:firstRow="1" w:lastRow="0" w:firstColumn="1" w:lastColumn="0" w:noHBand="0" w:noVBand="1"/>
      </w:tblPr>
      <w:tblGrid>
        <w:gridCol w:w="1476"/>
        <w:gridCol w:w="1563"/>
        <w:gridCol w:w="1547"/>
        <w:gridCol w:w="1556"/>
        <w:gridCol w:w="1547"/>
        <w:gridCol w:w="1547"/>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A578072</w:t>
            </w:r>
          </w:p>
        </w:tc>
        <w:tc>
          <w:tcPr>
            <w:tcW w:w="1632" w:type="dxa"/>
            <w:vAlign w:val="top"/>
          </w:tcPr>
          <w:p w:rsidR="009520A9" w:rsidRDefault="00770482">
            <w:pPr>
              <w:jc w:val="right"/>
            </w:pPr>
            <w:r>
              <w:t>56.285</w:t>
            </w:r>
          </w:p>
        </w:tc>
        <w:tc>
          <w:tcPr>
            <w:tcW w:w="1632" w:type="dxa"/>
            <w:vAlign w:val="top"/>
          </w:tcPr>
          <w:p w:rsidR="009520A9" w:rsidRDefault="00770482">
            <w:pPr>
              <w:jc w:val="right"/>
            </w:pPr>
            <w:r>
              <w:t>72.012</w:t>
            </w:r>
          </w:p>
        </w:tc>
        <w:tc>
          <w:tcPr>
            <w:tcW w:w="1632" w:type="dxa"/>
            <w:vAlign w:val="top"/>
          </w:tcPr>
          <w:p w:rsidR="009520A9" w:rsidRDefault="00770482">
            <w:pPr>
              <w:jc w:val="right"/>
            </w:pPr>
            <w:r>
              <w:t>144.461</w:t>
            </w:r>
          </w:p>
        </w:tc>
        <w:tc>
          <w:tcPr>
            <w:tcW w:w="1632" w:type="dxa"/>
            <w:vAlign w:val="top"/>
          </w:tcPr>
          <w:p w:rsidR="009520A9" w:rsidRDefault="00770482">
            <w:pPr>
              <w:jc w:val="right"/>
            </w:pPr>
            <w:r>
              <w:t>83.554</w:t>
            </w:r>
          </w:p>
        </w:tc>
        <w:tc>
          <w:tcPr>
            <w:tcW w:w="1632" w:type="dxa"/>
            <w:vAlign w:val="top"/>
          </w:tcPr>
          <w:p w:rsidR="009520A9" w:rsidRDefault="00770482">
            <w:pPr>
              <w:jc w:val="right"/>
            </w:pPr>
            <w:r>
              <w:t>44.784</w:t>
            </w:r>
          </w:p>
        </w:tc>
        <w:tc>
          <w:tcPr>
            <w:tcW w:w="510" w:type="dxa"/>
            <w:vAlign w:val="top"/>
          </w:tcPr>
          <w:p w:rsidR="009520A9" w:rsidRDefault="00770482">
            <w:pPr>
              <w:jc w:val="right"/>
            </w:pPr>
            <w:r>
              <w:t>200,6</w:t>
            </w:r>
          </w:p>
        </w:tc>
      </w:tr>
    </w:tbl>
    <w:p w:rsidR="009520A9" w:rsidRDefault="009520A9">
      <w:pPr>
        <w:jc w:val="left"/>
      </w:pPr>
    </w:p>
    <w:p w:rsidR="009520A9" w:rsidRDefault="00770482">
      <w:r>
        <w:t>Ova aktivnost sastoji se od sljedećih elemenata: materijalni rashodi koji se odnose na naknade troškova službenih putovanja a čine 3% ukupnih rashoda u 2024. godini, isplate sredstava za financiranje znanstveno-istraživačkih projekata koji su trenutno u pr</w:t>
      </w:r>
      <w:r>
        <w:t>ovedbi (ugovorne obveze) a čine 41% ukupnih rashoda u 2024. godini, te za znanstveno-istraživačke projekte koji će se financirati na novim javnim pozivima a koji čine 56% ukupnih rashoda u 2024. godini. U 2025. godini materijalni rashodi čine 3% ukupnih ra</w:t>
      </w:r>
      <w:r>
        <w:t xml:space="preserve">shoda, dok isplate za znanstveno-istraživačke projekte koji će se financirati na novim javnim pozivima čine 97% rashoda. U 2026. godini su planirani rashodi isključivo za znanstveno-istraživačke projekte. </w:t>
      </w:r>
    </w:p>
    <w:p w:rsidR="009520A9" w:rsidRDefault="00770482">
      <w:r>
        <w:t>Provedba ove aktivnosti započela je u 2021. godini</w:t>
      </w:r>
      <w:r>
        <w:t xml:space="preserve">. </w:t>
      </w:r>
    </w:p>
    <w:p w:rsidR="009520A9" w:rsidRDefault="00770482">
      <w:r>
        <w:t>Opis aktivnosti: Chanse je kolaboracija 27 društvenih i humanističkih organizacija iz 24 države u Europi koje financiraju istraživanja. Aktivnosti koje se provode jesu transnacionalni natječaji u društvenim i humanističkim znanostima te dodatne aktivnos</w:t>
      </w:r>
      <w:r>
        <w:t>ti s ciljem kolaboracije istraživača u navedenom području. Sufinancira se iz sredstava Europske komisije kojima upravlja koordinator projekta Narodowe Centrum Nauki iz Poljske.</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w:t>
            </w:r>
            <w:r>
              <w:rPr>
                <w:rFonts w:cs="Times New Roman"/>
              </w:rPr>
              <w:t>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međunarodnih projekata</w:t>
            </w:r>
          </w:p>
        </w:tc>
        <w:tc>
          <w:tcPr>
            <w:tcW w:w="2245" w:type="dxa"/>
            <w:vAlign w:val="top"/>
          </w:tcPr>
          <w:p w:rsidR="009520A9" w:rsidRDefault="00770482">
            <w:pPr>
              <w:pStyle w:val="CellColumn"/>
              <w:jc w:val="left"/>
            </w:pPr>
            <w:r>
              <w:rPr>
                <w:rFonts w:cs="Times New Roman"/>
              </w:rPr>
              <w:t>Broj hrvatskih istraživačkih grupa koje se projektno financiraju a rade na zajedničkom međunarodnom projektu</w:t>
            </w:r>
          </w:p>
        </w:tc>
        <w:tc>
          <w:tcPr>
            <w:tcW w:w="918" w:type="dxa"/>
          </w:tcPr>
          <w:p w:rsidR="009520A9" w:rsidRDefault="00770482">
            <w:pPr>
              <w:jc w:val="center"/>
            </w:pPr>
            <w:r>
              <w:t>Broj</w:t>
            </w:r>
          </w:p>
        </w:tc>
        <w:tc>
          <w:tcPr>
            <w:tcW w:w="918" w:type="dxa"/>
          </w:tcPr>
          <w:p w:rsidR="009520A9" w:rsidRDefault="00770482">
            <w:pPr>
              <w:jc w:val="center"/>
            </w:pPr>
            <w:r>
              <w:t>2</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4</w:t>
            </w:r>
          </w:p>
        </w:tc>
        <w:tc>
          <w:tcPr>
            <w:tcW w:w="918" w:type="dxa"/>
          </w:tcPr>
          <w:p w:rsidR="009520A9" w:rsidRDefault="00770482">
            <w:pPr>
              <w:jc w:val="center"/>
            </w:pPr>
            <w:r>
              <w:t>2</w:t>
            </w:r>
          </w:p>
        </w:tc>
        <w:tc>
          <w:tcPr>
            <w:tcW w:w="918" w:type="dxa"/>
          </w:tcPr>
          <w:p w:rsidR="009520A9" w:rsidRDefault="00770482">
            <w:pPr>
              <w:jc w:val="center"/>
            </w:pPr>
            <w:r>
              <w:t>2</w:t>
            </w:r>
          </w:p>
        </w:tc>
      </w:tr>
      <w:tr w:rsidR="009520A9">
        <w:trPr>
          <w:jc w:val="center"/>
        </w:trPr>
        <w:tc>
          <w:tcPr>
            <w:tcW w:w="2245" w:type="dxa"/>
            <w:vAlign w:val="top"/>
          </w:tcPr>
          <w:p w:rsidR="009520A9" w:rsidRDefault="00770482">
            <w:pPr>
              <w:pStyle w:val="CellColumn"/>
              <w:jc w:val="left"/>
            </w:pPr>
            <w:r>
              <w:rPr>
                <w:rFonts w:cs="Times New Roman"/>
              </w:rPr>
              <w:t>Broj istraživača na međunarodnim projektima</w:t>
            </w:r>
          </w:p>
        </w:tc>
        <w:tc>
          <w:tcPr>
            <w:tcW w:w="2245" w:type="dxa"/>
            <w:vAlign w:val="top"/>
          </w:tcPr>
          <w:p w:rsidR="009520A9" w:rsidRDefault="00770482">
            <w:pPr>
              <w:pStyle w:val="CellColumn"/>
              <w:jc w:val="left"/>
            </w:pPr>
            <w:r>
              <w:rPr>
                <w:rFonts w:cs="Times New Roman"/>
              </w:rPr>
              <w:t>Broj hrvatskih istraživača koji uključeni u provedbu međunarodnih istraživačkih projekata kao korisnici sredstava</w:t>
            </w:r>
          </w:p>
        </w:tc>
        <w:tc>
          <w:tcPr>
            <w:tcW w:w="918" w:type="dxa"/>
          </w:tcPr>
          <w:p w:rsidR="009520A9" w:rsidRDefault="00770482">
            <w:pPr>
              <w:jc w:val="center"/>
            </w:pPr>
            <w:r>
              <w:t>Broj</w:t>
            </w:r>
          </w:p>
        </w:tc>
        <w:tc>
          <w:tcPr>
            <w:tcW w:w="918" w:type="dxa"/>
          </w:tcPr>
          <w:p w:rsidR="009520A9" w:rsidRDefault="00770482">
            <w:pPr>
              <w:jc w:val="center"/>
            </w:pPr>
            <w:r>
              <w:t>5</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8</w:t>
            </w:r>
          </w:p>
        </w:tc>
        <w:tc>
          <w:tcPr>
            <w:tcW w:w="918" w:type="dxa"/>
          </w:tcPr>
          <w:p w:rsidR="009520A9" w:rsidRDefault="00770482">
            <w:pPr>
              <w:jc w:val="center"/>
            </w:pPr>
            <w:r>
              <w:t>4</w:t>
            </w:r>
          </w:p>
        </w:tc>
        <w:tc>
          <w:tcPr>
            <w:tcW w:w="918" w:type="dxa"/>
          </w:tcPr>
          <w:p w:rsidR="009520A9" w:rsidRDefault="00770482">
            <w:pPr>
              <w:jc w:val="center"/>
            </w:pPr>
            <w:r>
              <w:t>4</w:t>
            </w:r>
          </w:p>
        </w:tc>
      </w:tr>
      <w:tr w:rsidR="009520A9">
        <w:trPr>
          <w:jc w:val="center"/>
        </w:trPr>
        <w:tc>
          <w:tcPr>
            <w:tcW w:w="2245" w:type="dxa"/>
            <w:vAlign w:val="top"/>
          </w:tcPr>
          <w:p w:rsidR="009520A9" w:rsidRDefault="00770482">
            <w:pPr>
              <w:pStyle w:val="CellColumn"/>
              <w:jc w:val="left"/>
            </w:pPr>
            <w:r>
              <w:rPr>
                <w:rFonts w:cs="Times New Roman"/>
              </w:rPr>
              <w:t>Broj viših asistenata koji su zaposleni iz projektnih sredstava.</w:t>
            </w:r>
          </w:p>
        </w:tc>
        <w:tc>
          <w:tcPr>
            <w:tcW w:w="2245" w:type="dxa"/>
            <w:vAlign w:val="top"/>
          </w:tcPr>
          <w:p w:rsidR="009520A9" w:rsidRDefault="00770482">
            <w:pPr>
              <w:pStyle w:val="CellColumn"/>
              <w:jc w:val="left"/>
            </w:pPr>
            <w:r>
              <w:rPr>
                <w:rFonts w:cs="Times New Roman"/>
              </w:rPr>
              <w:t>Cilj HRZZ natječaja je izobrazba i ulaganje u razvitak karijere mladih istraživača.</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2</w:t>
            </w:r>
          </w:p>
        </w:tc>
      </w:tr>
      <w:tr w:rsidR="009520A9">
        <w:trPr>
          <w:jc w:val="center"/>
        </w:trPr>
        <w:tc>
          <w:tcPr>
            <w:tcW w:w="2245" w:type="dxa"/>
            <w:vAlign w:val="top"/>
          </w:tcPr>
          <w:p w:rsidR="009520A9" w:rsidRDefault="00770482">
            <w:pPr>
              <w:pStyle w:val="CellColumn"/>
              <w:jc w:val="left"/>
            </w:pPr>
            <w:r>
              <w:rPr>
                <w:rFonts w:cs="Times New Roman"/>
              </w:rPr>
              <w:t>Broj sastanaka u okviru međunarodnog konzorcija za potrebe provedbe programa</w:t>
            </w:r>
          </w:p>
        </w:tc>
        <w:tc>
          <w:tcPr>
            <w:tcW w:w="2245" w:type="dxa"/>
            <w:vAlign w:val="top"/>
          </w:tcPr>
          <w:p w:rsidR="009520A9" w:rsidRDefault="00770482">
            <w:pPr>
              <w:pStyle w:val="CellColumn"/>
              <w:jc w:val="left"/>
            </w:pPr>
            <w:r>
              <w:rPr>
                <w:rFonts w:cs="Times New Roman"/>
              </w:rPr>
              <w:t>Sastanci članica konzorcija s ciljem koordinacije transnacionalnih aktivnost</w:t>
            </w:r>
            <w:r>
              <w:rPr>
                <w:rFonts w:cs="Times New Roman"/>
              </w:rPr>
              <w:t>i u području društvenih i humanističkih znanosti</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bl>
    <w:p w:rsidR="009520A9" w:rsidRDefault="009520A9">
      <w:pPr>
        <w:jc w:val="left"/>
      </w:pPr>
    </w:p>
    <w:p w:rsidR="009520A9" w:rsidRDefault="00770482">
      <w:pPr>
        <w:pStyle w:val="Heading4"/>
      </w:pPr>
      <w:r>
        <w:t>A578073 PROGRAM MOBILNOSTI - NPOO (C3.2. R2-I1 )</w:t>
      </w:r>
    </w:p>
    <w:p w:rsidR="009520A9" w:rsidRDefault="00770482">
      <w:pPr>
        <w:pStyle w:val="Heading8"/>
        <w:jc w:val="left"/>
      </w:pPr>
      <w:r>
        <w:t>Zakonske i druge pravne osnove</w:t>
      </w:r>
    </w:p>
    <w:p w:rsidR="009520A9" w:rsidRDefault="00770482">
      <w:r>
        <w:t xml:space="preserve">- Uredba (EU) 2021/241 Europskog Parlamenta i Vijeća od 12. veljače 2021. o uspostavi Mehanizma za oporavak i otpornost (eng. Recovery and Resilience Facility – RRF, SL L 57, 18. 2. 2021.); </w:t>
      </w:r>
    </w:p>
    <w:p w:rsidR="009520A9" w:rsidRDefault="00770482">
      <w:r>
        <w:t>- Uredba (EU, Euratom) 2018/1046 Europskog parlamenta i Vijeća od</w:t>
      </w:r>
      <w:r>
        <w:t xml:space="preserve"> 18. srpnja 2018. o financijskim pravilima koja se primjenjuju na opći proračun Unije, o izmjeni uredbi (EU) br. 1296/2013, (EU) br. 1301/2013, (EU) br. 1303/2013, (EU) br. 1304/2013, (EU) br. 1309/2013, (EU) br. 1316/2013, (EU) br. 223/2014, (EU) br. 283/</w:t>
      </w:r>
      <w:r>
        <w:t xml:space="preserve">2014 i Odluke br. 541/2014/EU te o stavljanju izvan snage Uredbe (EU, Euratom) br. 966/2012 </w:t>
      </w:r>
    </w:p>
    <w:p w:rsidR="009520A9" w:rsidRDefault="00770482">
      <w:r>
        <w:t>- Provedbena odluka Vijeća o odobrenju ocjene plana za oporavak i otpornost Hrvatske (eng. Council Implementing Decision on the approval of the assessment of the r</w:t>
      </w:r>
      <w:r>
        <w:t xml:space="preserve">ecovery and resilience plan for Croatia - 2021/0222 (NLE), 20.7.2021.) </w:t>
      </w:r>
    </w:p>
    <w:p w:rsidR="009520A9" w:rsidRDefault="00770482">
      <w:r>
        <w:t xml:space="preserve">- Prilog Provedbenoj odluci Vijeća o odobrenju ocjene plana za oporavak i otpornost Hrvatske (HR) (eng. Annex to the Council Implementing Decision on the approval of the assessment of </w:t>
      </w:r>
      <w:r>
        <w:t xml:space="preserve">the recovery and resilience plan for Croatia) </w:t>
      </w:r>
    </w:p>
    <w:p w:rsidR="009520A9" w:rsidRDefault="00770482">
      <w:r>
        <w:t xml:space="preserve">- Operativni sporazum za provedbu Nacionalnog plana oporavka i otpornosti 2021.-2026. </w:t>
      </w:r>
    </w:p>
    <w:p w:rsidR="009520A9" w:rsidRDefault="00770482">
      <w:r>
        <w:t>- Odluka o sustavu upravljanja i praćenju provedbe aktivnosti u okviru Nacionalnog plana oporavka i otpornosti 2021. – 202</w:t>
      </w:r>
      <w:r>
        <w:t xml:space="preserve">6. Vlade Republike Hrvatske  </w:t>
      </w:r>
    </w:p>
    <w:p w:rsidR="009520A9" w:rsidRDefault="00770482">
      <w:r>
        <w:t xml:space="preserve">- Uredba o unutarnjem ustrojstvu Ministarstva znanosti i obrazovanja </w:t>
      </w:r>
    </w:p>
    <w:p w:rsidR="009520A9" w:rsidRDefault="00770482">
      <w:r>
        <w:t xml:space="preserve">- Pravilnik o unutarnjem redu Hrvatske zaklade za znanost  </w:t>
      </w:r>
    </w:p>
    <w:p w:rsidR="009520A9" w:rsidRDefault="00770482">
      <w:r>
        <w:t xml:space="preserve">- Zakon o visokom obrazovanju i znanstvenoj djelatnosti  </w:t>
      </w:r>
    </w:p>
    <w:p w:rsidR="009520A9" w:rsidRDefault="00770482">
      <w:r>
        <w:t>- Zakon o Hrvatskoj zakladi za znanost</w:t>
      </w:r>
      <w:r>
        <w:t xml:space="preserve"> </w:t>
      </w:r>
    </w:p>
    <w:p w:rsidR="009520A9" w:rsidRDefault="00770482">
      <w:r>
        <w:t xml:space="preserve">- Nacionalni plan oporavka i otpornosti 2021.-2026.    </w:t>
      </w:r>
    </w:p>
    <w:p w:rsidR="009520A9" w:rsidRDefault="00770482">
      <w:r>
        <w:t>- Sporazum o delegiranim poslovima u sklopu  komponente C3. Obrazovanje, znanost i istraživanje, podkomponente C3.2. Podizanje istraživačkog i inovacijskog kapaciteta  u okviru Nacionalnog plana oporavka i otpornosti 2021.-2026.</w:t>
      </w:r>
    </w:p>
    <w:tbl>
      <w:tblPr>
        <w:tblStyle w:val="StilTablice"/>
        <w:tblW w:w="10206" w:type="dxa"/>
        <w:jc w:val="center"/>
        <w:tblLook w:val="04A0" w:firstRow="1" w:lastRow="0" w:firstColumn="1" w:lastColumn="0" w:noHBand="0" w:noVBand="1"/>
      </w:tblPr>
      <w:tblGrid>
        <w:gridCol w:w="1469"/>
        <w:gridCol w:w="1558"/>
        <w:gridCol w:w="1550"/>
        <w:gridCol w:w="1564"/>
        <w:gridCol w:w="1564"/>
        <w:gridCol w:w="1531"/>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 xml:space="preserve">Izvršenje </w:t>
            </w:r>
            <w:r>
              <w:rPr>
                <w:rFonts w:cs="Times New Roman"/>
              </w:rPr>
              <w:t>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A578073</w:t>
            </w:r>
          </w:p>
        </w:tc>
        <w:tc>
          <w:tcPr>
            <w:tcW w:w="1632" w:type="dxa"/>
            <w:vAlign w:val="top"/>
          </w:tcPr>
          <w:p w:rsidR="009520A9" w:rsidRDefault="00770482">
            <w:pPr>
              <w:jc w:val="right"/>
            </w:pPr>
            <w:r>
              <w:t>00</w:t>
            </w:r>
          </w:p>
        </w:tc>
        <w:tc>
          <w:tcPr>
            <w:tcW w:w="1632" w:type="dxa"/>
            <w:vAlign w:val="top"/>
          </w:tcPr>
          <w:p w:rsidR="009520A9" w:rsidRDefault="00770482">
            <w:pPr>
              <w:jc w:val="right"/>
            </w:pPr>
            <w:r>
              <w:t>160.000</w:t>
            </w:r>
          </w:p>
        </w:tc>
        <w:tc>
          <w:tcPr>
            <w:tcW w:w="1632" w:type="dxa"/>
            <w:vAlign w:val="top"/>
          </w:tcPr>
          <w:p w:rsidR="009520A9" w:rsidRDefault="00770482">
            <w:pPr>
              <w:jc w:val="right"/>
            </w:pPr>
            <w:r>
              <w:t>4.272.941</w:t>
            </w:r>
          </w:p>
        </w:tc>
        <w:tc>
          <w:tcPr>
            <w:tcW w:w="1632" w:type="dxa"/>
            <w:vAlign w:val="top"/>
          </w:tcPr>
          <w:p w:rsidR="009520A9" w:rsidRDefault="00770482">
            <w:pPr>
              <w:jc w:val="right"/>
            </w:pPr>
            <w:r>
              <w:t>1.592.674</w:t>
            </w:r>
          </w:p>
        </w:tc>
        <w:tc>
          <w:tcPr>
            <w:tcW w:w="1632" w:type="dxa"/>
            <w:vAlign w:val="top"/>
          </w:tcPr>
          <w:p w:rsidR="009520A9" w:rsidRDefault="00770482">
            <w:pPr>
              <w:jc w:val="right"/>
            </w:pPr>
            <w:r>
              <w:t>00</w:t>
            </w:r>
          </w:p>
        </w:tc>
        <w:tc>
          <w:tcPr>
            <w:tcW w:w="510" w:type="dxa"/>
            <w:vAlign w:val="top"/>
          </w:tcPr>
          <w:p w:rsidR="009520A9" w:rsidRDefault="00770482">
            <w:pPr>
              <w:jc w:val="right"/>
            </w:pPr>
            <w:r>
              <w:t>2670,6</w:t>
            </w:r>
          </w:p>
        </w:tc>
      </w:tr>
    </w:tbl>
    <w:p w:rsidR="009520A9" w:rsidRDefault="009520A9">
      <w:pPr>
        <w:jc w:val="left"/>
      </w:pPr>
    </w:p>
    <w:p w:rsidR="009520A9" w:rsidRDefault="00770482">
      <w:r>
        <w:t xml:space="preserve">Ova aktivnost sastoji se od sljedećih elemenata: isplate stipendija mladim istraživačima zaposlenim na znanstveno-istraživačkim ustanovama u Republici Hrvatskoj </w:t>
      </w:r>
    </w:p>
    <w:p w:rsidR="009520A9" w:rsidRDefault="00770482">
      <w:r>
        <w:t xml:space="preserve"> </w:t>
      </w:r>
    </w:p>
    <w:p w:rsidR="009520A9" w:rsidRDefault="00770482">
      <w:r>
        <w:t>Opis aktivnosti: Glavna svrha Programa je povećati međunarodno iskustvo mladih istraživača t</w:t>
      </w:r>
      <w:r>
        <w:t>e unaprijediti suradnje sa stranim partnerima u znanstvenoj zajednici. Program će uključivati tri potprograma: 1) Odlazna mobilnost doktoranada, čime se potiče usavršavanje i znanstveno istraživanje za odlaznu mobilnost za doktorande, u trajanju do 6 mjese</w:t>
      </w:r>
      <w:r>
        <w:t>ci; 2) Odlazna mobilnost poslijedoktoranada: projektima će se podržati usavršavanje i znanstveno istraživanje za odlaznu mobilnost mladih istraživača, do 7 godina nakon stjecanja doktorata, u trajanju do 2 godine. 3) Dolazna mobilnost poslijedoktoranada: p</w:t>
      </w:r>
      <w:r>
        <w:t xml:space="preserve">rojektima će se podržati znanstveno istraživanje mladih istraživača, do 7 godina nakon stjecanja doktorata, iz inozemstva, u trajanju do 2 godine, kojima će se dodjeljivati stipendija za studijski boravak na znanstvenim institucijama u Hrvatskoj.  </w:t>
      </w:r>
    </w:p>
    <w:p w:rsidR="009520A9" w:rsidRDefault="00770482">
      <w:r>
        <w:t xml:space="preserve"> </w:t>
      </w:r>
    </w:p>
    <w:p w:rsidR="009520A9" w:rsidRDefault="00770482">
      <w:r>
        <w:t>Izrač</w:t>
      </w:r>
      <w:r>
        <w:t>un je napravljen sukladno procijenjenim mobilnostima tijekom 2024. godine i 2025. godine.</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w:t>
            </w:r>
            <w:r>
              <w:rPr>
                <w:rFonts w:cs="Times New Roman"/>
              </w:rPr>
              <w:t>ost (2026.)</w:t>
            </w:r>
          </w:p>
        </w:tc>
      </w:tr>
      <w:tr w:rsidR="009520A9">
        <w:trPr>
          <w:jc w:val="center"/>
        </w:trPr>
        <w:tc>
          <w:tcPr>
            <w:tcW w:w="2245" w:type="dxa"/>
            <w:vAlign w:val="top"/>
          </w:tcPr>
          <w:p w:rsidR="009520A9" w:rsidRDefault="00770482">
            <w:pPr>
              <w:pStyle w:val="CellColumn"/>
              <w:jc w:val="left"/>
            </w:pPr>
            <w:r>
              <w:rPr>
                <w:rFonts w:cs="Times New Roman"/>
              </w:rPr>
              <w:t>Broj međunarodnih stipendija</w:t>
            </w:r>
          </w:p>
        </w:tc>
        <w:tc>
          <w:tcPr>
            <w:tcW w:w="2245" w:type="dxa"/>
            <w:vAlign w:val="top"/>
          </w:tcPr>
          <w:p w:rsidR="009520A9" w:rsidRDefault="00770482">
            <w:pPr>
              <w:pStyle w:val="CellColumn"/>
              <w:jc w:val="left"/>
            </w:pPr>
            <w:r>
              <w:rPr>
                <w:rFonts w:cs="Times New Roman"/>
              </w:rPr>
              <w:t>Broj stipendija dodijeljenih mladim istraživačima</w:t>
            </w:r>
          </w:p>
        </w:tc>
        <w:tc>
          <w:tcPr>
            <w:tcW w:w="918" w:type="dxa"/>
          </w:tcPr>
          <w:p w:rsidR="009520A9" w:rsidRDefault="00770482">
            <w:pPr>
              <w:jc w:val="center"/>
            </w:pPr>
            <w:r>
              <w:t>Broj</w:t>
            </w:r>
          </w:p>
        </w:tc>
        <w:tc>
          <w:tcPr>
            <w:tcW w:w="918" w:type="dxa"/>
          </w:tcPr>
          <w:p w:rsidR="009520A9" w:rsidRDefault="00770482">
            <w:pPr>
              <w:jc w:val="center"/>
            </w:pPr>
            <w:r>
              <w:t>11</w:t>
            </w:r>
          </w:p>
        </w:tc>
        <w:tc>
          <w:tcPr>
            <w:tcW w:w="918" w:type="dxa"/>
          </w:tcPr>
          <w:p w:rsidR="009520A9" w:rsidRDefault="00770482">
            <w:pPr>
              <w:pStyle w:val="CellColumn"/>
              <w:jc w:val="center"/>
            </w:pPr>
            <w:r>
              <w:rPr>
                <w:rFonts w:cs="Times New Roman"/>
              </w:rPr>
              <w:t>NPOO</w:t>
            </w:r>
          </w:p>
        </w:tc>
        <w:tc>
          <w:tcPr>
            <w:tcW w:w="918" w:type="dxa"/>
          </w:tcPr>
          <w:p w:rsidR="009520A9" w:rsidRDefault="00770482">
            <w:pPr>
              <w:jc w:val="center"/>
            </w:pPr>
            <w:r>
              <w:t>100</w:t>
            </w:r>
          </w:p>
        </w:tc>
        <w:tc>
          <w:tcPr>
            <w:tcW w:w="918" w:type="dxa"/>
          </w:tcPr>
          <w:p w:rsidR="009520A9" w:rsidRDefault="00770482">
            <w:pPr>
              <w:jc w:val="center"/>
            </w:pPr>
            <w:r>
              <w:t>50</w:t>
            </w:r>
          </w:p>
        </w:tc>
        <w:tc>
          <w:tcPr>
            <w:tcW w:w="918" w:type="dxa"/>
          </w:tcPr>
          <w:p w:rsidR="009520A9" w:rsidRDefault="00770482">
            <w:pPr>
              <w:jc w:val="center"/>
            </w:pPr>
            <w:r>
              <w:t>0</w:t>
            </w:r>
          </w:p>
        </w:tc>
      </w:tr>
    </w:tbl>
    <w:p w:rsidR="009520A9" w:rsidRDefault="009520A9">
      <w:pPr>
        <w:jc w:val="left"/>
      </w:pPr>
    </w:p>
    <w:p w:rsidR="009520A9" w:rsidRDefault="00770482">
      <w:pPr>
        <w:pStyle w:val="Heading4"/>
      </w:pPr>
      <w:r>
        <w:t>A578074 DRUGI ŠVICARSKI DOPRINOS - MULTILATERALNI POZIVI ZA ZAJEDNIČKE ISTRAŽIVAČKE PROJEKTE (MCJRP)</w:t>
      </w:r>
    </w:p>
    <w:p w:rsidR="009520A9" w:rsidRDefault="00770482">
      <w:pPr>
        <w:pStyle w:val="Heading8"/>
        <w:jc w:val="left"/>
      </w:pPr>
      <w:r>
        <w:t>Zakonske i druge pravne osnove</w:t>
      </w:r>
    </w:p>
    <w:p w:rsidR="009520A9" w:rsidRDefault="00770482">
      <w:r>
        <w:t>-Memorandum o razumijevanju između Europske unije i Švicarske o švicarskom doprinosu smanjivanju ekonomskih i socijalnih nejednakosti te za suradnju u području migracija u Europskoj uniji</w:t>
      </w:r>
    </w:p>
    <w:tbl>
      <w:tblPr>
        <w:tblStyle w:val="StilTablice"/>
        <w:tblW w:w="10206" w:type="dxa"/>
        <w:jc w:val="center"/>
        <w:tblLook w:val="04A0" w:firstRow="1" w:lastRow="0" w:firstColumn="1" w:lastColumn="0" w:noHBand="0" w:noVBand="1"/>
      </w:tblPr>
      <w:tblGrid>
        <w:gridCol w:w="1474"/>
        <w:gridCol w:w="1562"/>
        <w:gridCol w:w="1546"/>
        <w:gridCol w:w="1546"/>
        <w:gridCol w:w="1554"/>
        <w:gridCol w:w="1554"/>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w:t>
            </w:r>
            <w:r>
              <w:rPr>
                <w:rFonts w:cs="Times New Roman"/>
              </w:rPr>
              <w:t>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A578074</w:t>
            </w:r>
          </w:p>
        </w:tc>
        <w:tc>
          <w:tcPr>
            <w:tcW w:w="1632" w:type="dxa"/>
            <w:vAlign w:val="top"/>
          </w:tcPr>
          <w:p w:rsidR="009520A9" w:rsidRDefault="00770482">
            <w:pPr>
              <w:jc w:val="right"/>
            </w:pPr>
            <w:r>
              <w:t>00</w:t>
            </w:r>
          </w:p>
        </w:tc>
        <w:tc>
          <w:tcPr>
            <w:tcW w:w="1632" w:type="dxa"/>
            <w:vAlign w:val="top"/>
          </w:tcPr>
          <w:p w:rsidR="009520A9" w:rsidRDefault="00770482">
            <w:pPr>
              <w:jc w:val="right"/>
            </w:pPr>
            <w:r>
              <w:t>22.306</w:t>
            </w:r>
          </w:p>
        </w:tc>
        <w:tc>
          <w:tcPr>
            <w:tcW w:w="1632" w:type="dxa"/>
            <w:vAlign w:val="top"/>
          </w:tcPr>
          <w:p w:rsidR="009520A9" w:rsidRDefault="00770482">
            <w:pPr>
              <w:jc w:val="right"/>
            </w:pPr>
            <w:r>
              <w:t>36.030</w:t>
            </w:r>
          </w:p>
        </w:tc>
        <w:tc>
          <w:tcPr>
            <w:tcW w:w="1632" w:type="dxa"/>
            <w:vAlign w:val="top"/>
          </w:tcPr>
          <w:p w:rsidR="009520A9" w:rsidRDefault="00770482">
            <w:pPr>
              <w:jc w:val="right"/>
            </w:pPr>
            <w:r>
              <w:t>241.400</w:t>
            </w:r>
          </w:p>
        </w:tc>
        <w:tc>
          <w:tcPr>
            <w:tcW w:w="1632" w:type="dxa"/>
            <w:vAlign w:val="top"/>
          </w:tcPr>
          <w:p w:rsidR="009520A9" w:rsidRDefault="00770482">
            <w:pPr>
              <w:jc w:val="right"/>
            </w:pPr>
            <w:r>
              <w:t>242.310</w:t>
            </w:r>
          </w:p>
        </w:tc>
        <w:tc>
          <w:tcPr>
            <w:tcW w:w="510" w:type="dxa"/>
            <w:vAlign w:val="top"/>
          </w:tcPr>
          <w:p w:rsidR="009520A9" w:rsidRDefault="00770482">
            <w:pPr>
              <w:jc w:val="right"/>
            </w:pPr>
            <w:r>
              <w:t>161,5</w:t>
            </w:r>
          </w:p>
        </w:tc>
      </w:tr>
    </w:tbl>
    <w:p w:rsidR="009520A9" w:rsidRDefault="009520A9">
      <w:pPr>
        <w:jc w:val="left"/>
      </w:pPr>
    </w:p>
    <w:p w:rsidR="009520A9" w:rsidRDefault="00770482">
      <w:r>
        <w:t xml:space="preserve">Ova aktivnost sastoji se od sljedećih elemenata: rashodi za zaposlene, materijalni rashodi te isplate znanstveno-istraživačkih projekata. </w:t>
      </w:r>
    </w:p>
    <w:p w:rsidR="009520A9" w:rsidRDefault="00770482">
      <w:r>
        <w:t xml:space="preserve">Izračun financijskog plana:  </w:t>
      </w:r>
    </w:p>
    <w:p w:rsidR="009520A9" w:rsidRDefault="00770482">
      <w:r>
        <w:t xml:space="preserve">1.Rashodi za zaposlene </w:t>
      </w:r>
    </w:p>
    <w:p w:rsidR="009520A9" w:rsidRDefault="00770482">
      <w:r>
        <w:t xml:space="preserve">Planirani broj zaposlenih u 2024.g. x iznos prosječne mjesečne plaće (40 sati rada mjesečno) x 12 mjeseci=7.839 eura </w:t>
      </w:r>
    </w:p>
    <w:p w:rsidR="009520A9" w:rsidRDefault="00770482">
      <w:r>
        <w:t>Planirani broj zaposlenih u 2025.g. x iznos prosječne mjesečne plaće (40 sati rada mjesečno)  x 12 mjeseci=7.839 e</w:t>
      </w:r>
      <w:r>
        <w:t xml:space="preserve">ura </w:t>
      </w:r>
    </w:p>
    <w:p w:rsidR="009520A9" w:rsidRDefault="00770482">
      <w:r>
        <w:t xml:space="preserve">Planirani broj zaposlenih u 2026.g. x iznos prosječne mjesečne plaće (40 sati rada mjesečno) x 12 mjeseci =7.839 eura </w:t>
      </w:r>
    </w:p>
    <w:p w:rsidR="009520A9" w:rsidRDefault="00770482">
      <w:r>
        <w:t xml:space="preserve">2.Materijalni rashodi </w:t>
      </w:r>
    </w:p>
    <w:p w:rsidR="009520A9" w:rsidRDefault="00770482">
      <w:r>
        <w:t>Materijalni rashodi planiraju se u visini od 28.191 eura za 2024. godinu, 7.269 eura za 2025. godinu te 8.179</w:t>
      </w:r>
      <w:r>
        <w:t xml:space="preserve"> eura za 2026. godinu, a obuhvaćaju: naknade troškova službenih putovanja zaposlenika Zaklade, troškove zakupnine i najamnine, naknade člana Upravljačkog odbora i vanjskih suradnika, rashode za usluge i troškove reprezentacije. </w:t>
      </w:r>
    </w:p>
    <w:p w:rsidR="009520A9" w:rsidRDefault="00770482">
      <w:r>
        <w:t xml:space="preserve">3.Isplate sredstava za provedbu znanstveno-istraživačkih projekata u iznosu od 226.292 eura za 2025. i 2026. godinu. </w:t>
      </w:r>
    </w:p>
    <w:p w:rsidR="009520A9" w:rsidRDefault="00770482">
      <w:r>
        <w:t>Izračun financijskog plana izrađen je na temelju planirane vrijednosti natječaja za financiranje znanstveno-istraživačkih projekata koji s</w:t>
      </w:r>
      <w:r>
        <w:t xml:space="preserve">e planira raspisati. </w:t>
      </w:r>
    </w:p>
    <w:p w:rsidR="009520A9" w:rsidRDefault="00770482">
      <w:r>
        <w:t xml:space="preserve"> </w:t>
      </w:r>
    </w:p>
    <w:p w:rsidR="009520A9" w:rsidRDefault="00770482">
      <w:r>
        <w:t>Opis aktivnosti: Švicarska nacionalna zaklada za znanost (SNSF) razvila je novi mehanizam financiranja pod nazivom Multilateralni pozivi za zajedničke istraživačke projekte (Multilateral Calls for Joint Research Projects, MCJRP). Ov</w:t>
      </w:r>
      <w:r>
        <w:t>im instrumentom predviđeno je organiziranje multilateralnih natječaja koji uključuje više partnerskih zemalja EU-13 u jednom programu, što će omogućiti izgradnju mreža između istraživačkih skupina iz zemalja. Timski orijentiran pristup iz različitih zemalj</w:t>
      </w:r>
      <w:r>
        <w:t>a i institucija također omogućuje rješavanje složenijih istraživačkih pitanja te olakšan pristup znanju i tehnologijama. Nadalje, multilateralna suradnja potiče izgradnju kapaciteta i stvara mogućnosti razmjene između zemalja EU-13 i Švicarske. Poticanje p</w:t>
      </w:r>
      <w:r>
        <w:t>rekogranične suradnje također pomaže u prevladavanju segregacije unutar Europskog istraživačkog prostora i potiče cirkulaciju mozgova unutar tih zemalja.</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međunarodnih projekata</w:t>
            </w:r>
          </w:p>
        </w:tc>
        <w:tc>
          <w:tcPr>
            <w:tcW w:w="2245" w:type="dxa"/>
            <w:vAlign w:val="top"/>
          </w:tcPr>
          <w:p w:rsidR="009520A9" w:rsidRDefault="00770482">
            <w:pPr>
              <w:pStyle w:val="CellColumn"/>
              <w:jc w:val="left"/>
            </w:pPr>
            <w:r>
              <w:rPr>
                <w:rFonts w:cs="Times New Roman"/>
              </w:rPr>
              <w:t>Broj hrvatskih istraživačkih grupa koje se projektno financiraju a rade na zajedničkom međunarodnom projektu</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0</w:t>
            </w:r>
          </w:p>
        </w:tc>
        <w:tc>
          <w:tcPr>
            <w:tcW w:w="918" w:type="dxa"/>
          </w:tcPr>
          <w:p w:rsidR="009520A9" w:rsidRDefault="00770482">
            <w:pPr>
              <w:jc w:val="center"/>
            </w:pPr>
            <w:r>
              <w:t>10</w:t>
            </w:r>
          </w:p>
        </w:tc>
        <w:tc>
          <w:tcPr>
            <w:tcW w:w="918" w:type="dxa"/>
          </w:tcPr>
          <w:p w:rsidR="009520A9" w:rsidRDefault="00770482">
            <w:pPr>
              <w:jc w:val="center"/>
            </w:pPr>
            <w:r>
              <w:t>10</w:t>
            </w:r>
          </w:p>
        </w:tc>
      </w:tr>
      <w:tr w:rsidR="009520A9">
        <w:trPr>
          <w:jc w:val="center"/>
        </w:trPr>
        <w:tc>
          <w:tcPr>
            <w:tcW w:w="2245" w:type="dxa"/>
            <w:vAlign w:val="top"/>
          </w:tcPr>
          <w:p w:rsidR="009520A9" w:rsidRDefault="00770482">
            <w:pPr>
              <w:pStyle w:val="CellColumn"/>
              <w:jc w:val="left"/>
            </w:pPr>
            <w:r>
              <w:rPr>
                <w:rFonts w:cs="Times New Roman"/>
              </w:rPr>
              <w:t>Broj istraživača na međunarodnim projektima</w:t>
            </w:r>
          </w:p>
        </w:tc>
        <w:tc>
          <w:tcPr>
            <w:tcW w:w="2245" w:type="dxa"/>
            <w:vAlign w:val="top"/>
          </w:tcPr>
          <w:p w:rsidR="009520A9" w:rsidRDefault="00770482">
            <w:pPr>
              <w:pStyle w:val="CellColumn"/>
              <w:jc w:val="left"/>
            </w:pPr>
            <w:r>
              <w:rPr>
                <w:rFonts w:cs="Times New Roman"/>
              </w:rPr>
              <w:t>Broj hrvatskih istraživača koji uključeni u provedbu međunarodnih istraživačkih projekata kao korisnici sredstava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0</w:t>
            </w:r>
          </w:p>
        </w:tc>
        <w:tc>
          <w:tcPr>
            <w:tcW w:w="918" w:type="dxa"/>
          </w:tcPr>
          <w:p w:rsidR="009520A9" w:rsidRDefault="00770482">
            <w:pPr>
              <w:jc w:val="center"/>
            </w:pPr>
            <w:r>
              <w:t>30</w:t>
            </w:r>
          </w:p>
        </w:tc>
        <w:tc>
          <w:tcPr>
            <w:tcW w:w="918" w:type="dxa"/>
          </w:tcPr>
          <w:p w:rsidR="009520A9" w:rsidRDefault="00770482">
            <w:pPr>
              <w:jc w:val="center"/>
            </w:pPr>
            <w:r>
              <w:t>30</w:t>
            </w:r>
          </w:p>
        </w:tc>
      </w:tr>
      <w:tr w:rsidR="009520A9">
        <w:trPr>
          <w:jc w:val="center"/>
        </w:trPr>
        <w:tc>
          <w:tcPr>
            <w:tcW w:w="2245" w:type="dxa"/>
            <w:vAlign w:val="top"/>
          </w:tcPr>
          <w:p w:rsidR="009520A9" w:rsidRDefault="00770482">
            <w:pPr>
              <w:pStyle w:val="CellColumn"/>
              <w:jc w:val="left"/>
            </w:pPr>
            <w:r>
              <w:rPr>
                <w:rFonts w:cs="Times New Roman"/>
              </w:rPr>
              <w:t>Broj asistenata i viših asistenata koji su zaposleni iz projektnih sredstava</w:t>
            </w:r>
          </w:p>
        </w:tc>
        <w:tc>
          <w:tcPr>
            <w:tcW w:w="2245" w:type="dxa"/>
            <w:vAlign w:val="top"/>
          </w:tcPr>
          <w:p w:rsidR="009520A9" w:rsidRDefault="00770482">
            <w:pPr>
              <w:pStyle w:val="CellColumn"/>
              <w:jc w:val="left"/>
            </w:pPr>
            <w:r>
              <w:rPr>
                <w:rFonts w:cs="Times New Roman"/>
              </w:rPr>
              <w:t>Cilj HRZZ natječaja je izobrazba i ulaganje u razvitak karijere mladih istraživača.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1</w:t>
            </w:r>
          </w:p>
        </w:tc>
        <w:tc>
          <w:tcPr>
            <w:tcW w:w="918" w:type="dxa"/>
          </w:tcPr>
          <w:p w:rsidR="009520A9" w:rsidRDefault="00770482">
            <w:pPr>
              <w:jc w:val="center"/>
            </w:pPr>
            <w:r>
              <w:t>15</w:t>
            </w:r>
          </w:p>
        </w:tc>
        <w:tc>
          <w:tcPr>
            <w:tcW w:w="918" w:type="dxa"/>
          </w:tcPr>
          <w:p w:rsidR="009520A9" w:rsidRDefault="00770482">
            <w:pPr>
              <w:jc w:val="center"/>
            </w:pPr>
            <w:r>
              <w:t>15</w:t>
            </w:r>
          </w:p>
        </w:tc>
      </w:tr>
      <w:tr w:rsidR="009520A9">
        <w:trPr>
          <w:jc w:val="center"/>
        </w:trPr>
        <w:tc>
          <w:tcPr>
            <w:tcW w:w="2245" w:type="dxa"/>
            <w:vAlign w:val="top"/>
          </w:tcPr>
          <w:p w:rsidR="009520A9" w:rsidRDefault="00770482">
            <w:pPr>
              <w:pStyle w:val="CellColumn"/>
              <w:jc w:val="left"/>
            </w:pPr>
            <w:r>
              <w:rPr>
                <w:rFonts w:cs="Times New Roman"/>
              </w:rPr>
              <w:t>Broj sastanaka u okviru međunarodnog konzorcija za potrebe provedbe programa</w:t>
            </w:r>
          </w:p>
        </w:tc>
        <w:tc>
          <w:tcPr>
            <w:tcW w:w="2245" w:type="dxa"/>
            <w:vAlign w:val="top"/>
          </w:tcPr>
          <w:p w:rsidR="009520A9" w:rsidRDefault="00770482">
            <w:pPr>
              <w:pStyle w:val="CellColumn"/>
              <w:jc w:val="left"/>
            </w:pPr>
            <w:r>
              <w:rPr>
                <w:rFonts w:cs="Times New Roman"/>
              </w:rPr>
              <w:t>Sastanci članica konzorcija s ciljem koordinacije transnacionalnih aktivnosti u području društvenih i humanističkih znanosti</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bl>
    <w:p w:rsidR="009520A9" w:rsidRDefault="009520A9">
      <w:pPr>
        <w:jc w:val="left"/>
      </w:pPr>
    </w:p>
    <w:p w:rsidR="009520A9" w:rsidRDefault="00770482">
      <w:pPr>
        <w:pStyle w:val="Heading4"/>
      </w:pPr>
      <w:r>
        <w:t>A621048 PROJEKTNO FINANCIRANJE ZNANSTVENE DJELATNOSTI</w:t>
      </w:r>
    </w:p>
    <w:p w:rsidR="009520A9" w:rsidRDefault="00770482">
      <w:pPr>
        <w:pStyle w:val="Heading8"/>
        <w:jc w:val="left"/>
      </w:pPr>
      <w:r>
        <w:t>Zakonske i druge pravne osnove</w:t>
      </w:r>
    </w:p>
    <w:p w:rsidR="009520A9" w:rsidRDefault="00770482">
      <w:r>
        <w:t>- Zakon o visokom obrazova</w:t>
      </w:r>
      <w:r>
        <w:t xml:space="preserve">nju i znanstvenoj djelatnosti </w:t>
      </w:r>
    </w:p>
    <w:p w:rsidR="009520A9" w:rsidRDefault="00770482">
      <w:r>
        <w:t xml:space="preserve">- Zakon o Hrvatskoj zakladi za znanost </w:t>
      </w:r>
    </w:p>
    <w:p w:rsidR="009520A9" w:rsidRDefault="00770482">
      <w:r>
        <w:t xml:space="preserve">- Statut Hrvatske zaklade za znanost </w:t>
      </w:r>
    </w:p>
    <w:p w:rsidR="009520A9" w:rsidRDefault="00770482">
      <w:r>
        <w:t xml:space="preserve">- Pravilnik o uvjetima i postupku dodjele sredstava za ostvarivanje svrhe Zaklade  </w:t>
      </w:r>
    </w:p>
    <w:p w:rsidR="009520A9" w:rsidRDefault="00770482">
      <w:r>
        <w:t xml:space="preserve">- Pravilnik o upravljanju rezultatima znanstvenih projekata koji su prikladni za zaštitu pravima intelektualnog vlasništva  </w:t>
      </w:r>
    </w:p>
    <w:p w:rsidR="009520A9" w:rsidRDefault="00770482">
      <w:r>
        <w:t xml:space="preserve">- Pravilnik o sprječavanju sukoba interesa u postupku vrednovanja </w:t>
      </w:r>
    </w:p>
    <w:p w:rsidR="009520A9" w:rsidRDefault="00770482">
      <w:r>
        <w:t xml:space="preserve">- Etički kodeks Hrvatske zaklade za znanost </w:t>
      </w:r>
    </w:p>
    <w:p w:rsidR="009520A9" w:rsidRDefault="00770482">
      <w:r>
        <w:t>- Priručnik za vred</w:t>
      </w:r>
      <w:r>
        <w:t xml:space="preserve">novanje prijava na javne pozive Hrvatske zaklade za znanost </w:t>
      </w:r>
    </w:p>
    <w:p w:rsidR="009520A9" w:rsidRDefault="00770482">
      <w:r>
        <w:t xml:space="preserve">- Priručnik za praćenje financiranih projekata </w:t>
      </w:r>
    </w:p>
    <w:p w:rsidR="009520A9" w:rsidRDefault="00770482">
      <w:r>
        <w:t xml:space="preserve">- Upute za popunjavanje obrazaca za podnošenje izvješća </w:t>
      </w:r>
    </w:p>
    <w:p w:rsidR="009520A9" w:rsidRDefault="00770482">
      <w:r>
        <w:t>- Upute za zapošljavanje asistenata i viših asistenata na projekte Hrvatske zaklade za zna</w:t>
      </w:r>
      <w:r>
        <w:t>nost</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A621048</w:t>
            </w:r>
          </w:p>
        </w:tc>
        <w:tc>
          <w:tcPr>
            <w:tcW w:w="1632" w:type="dxa"/>
            <w:vAlign w:val="top"/>
          </w:tcPr>
          <w:p w:rsidR="009520A9" w:rsidRDefault="00770482">
            <w:pPr>
              <w:jc w:val="right"/>
            </w:pPr>
            <w:r>
              <w:t>17.285.430</w:t>
            </w:r>
          </w:p>
        </w:tc>
        <w:tc>
          <w:tcPr>
            <w:tcW w:w="1632" w:type="dxa"/>
            <w:vAlign w:val="top"/>
          </w:tcPr>
          <w:p w:rsidR="009520A9" w:rsidRDefault="00770482">
            <w:pPr>
              <w:jc w:val="right"/>
            </w:pPr>
            <w:r>
              <w:t>14.366.461</w:t>
            </w:r>
          </w:p>
        </w:tc>
        <w:tc>
          <w:tcPr>
            <w:tcW w:w="1632" w:type="dxa"/>
            <w:vAlign w:val="top"/>
          </w:tcPr>
          <w:p w:rsidR="009520A9" w:rsidRDefault="00770482">
            <w:pPr>
              <w:jc w:val="right"/>
            </w:pPr>
            <w:r>
              <w:t>22.727.218</w:t>
            </w:r>
          </w:p>
        </w:tc>
        <w:tc>
          <w:tcPr>
            <w:tcW w:w="1632" w:type="dxa"/>
            <w:vAlign w:val="top"/>
          </w:tcPr>
          <w:p w:rsidR="009520A9" w:rsidRDefault="00770482">
            <w:pPr>
              <w:jc w:val="right"/>
            </w:pPr>
            <w:r>
              <w:t>27.217.433</w:t>
            </w:r>
          </w:p>
        </w:tc>
        <w:tc>
          <w:tcPr>
            <w:tcW w:w="1632" w:type="dxa"/>
            <w:vAlign w:val="top"/>
          </w:tcPr>
          <w:p w:rsidR="009520A9" w:rsidRDefault="00770482">
            <w:pPr>
              <w:jc w:val="right"/>
            </w:pPr>
            <w:r>
              <w:t>27.467.755</w:t>
            </w:r>
          </w:p>
        </w:tc>
        <w:tc>
          <w:tcPr>
            <w:tcW w:w="510" w:type="dxa"/>
            <w:vAlign w:val="top"/>
          </w:tcPr>
          <w:p w:rsidR="009520A9" w:rsidRDefault="00770482">
            <w:pPr>
              <w:jc w:val="right"/>
            </w:pPr>
            <w:r>
              <w:t>158,2</w:t>
            </w:r>
          </w:p>
        </w:tc>
      </w:tr>
    </w:tbl>
    <w:p w:rsidR="009520A9" w:rsidRDefault="009520A9">
      <w:pPr>
        <w:jc w:val="left"/>
      </w:pPr>
    </w:p>
    <w:p w:rsidR="009520A9" w:rsidRDefault="00770482">
      <w:r>
        <w:t xml:space="preserve">Ova aktivnost sastoji se od sljedećih elemenata: isplate sredstava za provedbu znanstveno-istraživačkih projekata. </w:t>
      </w:r>
    </w:p>
    <w:p w:rsidR="009520A9" w:rsidRDefault="00770482">
      <w:r>
        <w:t xml:space="preserve">Ova aktivnost provodi se svake godine. </w:t>
      </w:r>
    </w:p>
    <w:p w:rsidR="009520A9" w:rsidRDefault="00770482">
      <w:r>
        <w:t xml:space="preserve">Izračun financijskog plana izrađen je na temelju ugovorenih obveza za isplatu projektnih sredstava, </w:t>
      </w:r>
      <w:r>
        <w:t xml:space="preserve">te na temelju planiranih budućih javnih poziva za financiranje znanstveno-istraživačkih projekata.  </w:t>
      </w:r>
    </w:p>
    <w:p w:rsidR="009520A9" w:rsidRDefault="00770482">
      <w:r>
        <w:t>Sukladno Zakonu o Hrvatskoj zakladi za znanost, radi ostvarivanja svoje svrhe Zaklada dodjeljuje financijska sredstva temeljnim istraživanjima te primijenj</w:t>
      </w:r>
      <w:r>
        <w:t xml:space="preserve">enim istraživanjima u ranoj fazi tehnološke spremnosti i znanstvenim istraživanjima koja su od strateškog interesa za Republiku Hrvatsku.  </w:t>
      </w:r>
    </w:p>
    <w:p w:rsidR="009520A9" w:rsidRDefault="00770482">
      <w:r>
        <w:t>Kako bi se jačao znanstveno – istraživački kapacitet na hrvatskim znanstvenim organizacijama, cilj je privući što ve</w:t>
      </w:r>
      <w:r>
        <w:t>ći broj istraživača koji će sudjelovati na HRZZ projektima te uložiti proračunska sredstva u financiranje najboljih projekata u svim područjima znanosti.</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tekućih Istraživačkih projekata</w:t>
            </w:r>
          </w:p>
        </w:tc>
        <w:tc>
          <w:tcPr>
            <w:tcW w:w="2245" w:type="dxa"/>
            <w:vAlign w:val="top"/>
          </w:tcPr>
          <w:p w:rsidR="009520A9" w:rsidRDefault="00770482">
            <w:pPr>
              <w:pStyle w:val="CellColumn"/>
              <w:jc w:val="left"/>
            </w:pPr>
            <w:r>
              <w:rPr>
                <w:rFonts w:cs="Times New Roman"/>
              </w:rPr>
              <w:t>Broj istraživačkih grupa koje se projektno financiraju, a cilj je omogućiti kontinuitet u financiranju te potaknuti njihovu međunarodnu v</w:t>
            </w:r>
            <w:r>
              <w:rPr>
                <w:rFonts w:cs="Times New Roman"/>
              </w:rPr>
              <w:t>idljivost te razvoj društva i gospodarstva.</w:t>
            </w:r>
          </w:p>
        </w:tc>
        <w:tc>
          <w:tcPr>
            <w:tcW w:w="918" w:type="dxa"/>
          </w:tcPr>
          <w:p w:rsidR="009520A9" w:rsidRDefault="00770482">
            <w:pPr>
              <w:jc w:val="center"/>
            </w:pPr>
            <w:r>
              <w:t>Broj</w:t>
            </w:r>
          </w:p>
        </w:tc>
        <w:tc>
          <w:tcPr>
            <w:tcW w:w="918" w:type="dxa"/>
          </w:tcPr>
          <w:p w:rsidR="009520A9" w:rsidRDefault="00770482">
            <w:pPr>
              <w:jc w:val="center"/>
            </w:pPr>
            <w:r>
              <w:t>274</w:t>
            </w:r>
          </w:p>
        </w:tc>
        <w:tc>
          <w:tcPr>
            <w:tcW w:w="918" w:type="dxa"/>
          </w:tcPr>
          <w:p w:rsidR="009520A9" w:rsidRDefault="00770482">
            <w:pPr>
              <w:pStyle w:val="CellColumn"/>
              <w:jc w:val="center"/>
            </w:pPr>
            <w:r>
              <w:rPr>
                <w:rFonts w:cs="Times New Roman"/>
              </w:rPr>
              <w:t>Baza HRZZ projekata</w:t>
            </w:r>
          </w:p>
        </w:tc>
        <w:tc>
          <w:tcPr>
            <w:tcW w:w="918" w:type="dxa"/>
          </w:tcPr>
          <w:p w:rsidR="009520A9" w:rsidRDefault="00770482">
            <w:pPr>
              <w:jc w:val="center"/>
            </w:pPr>
            <w:r>
              <w:t>441</w:t>
            </w:r>
          </w:p>
        </w:tc>
        <w:tc>
          <w:tcPr>
            <w:tcW w:w="918" w:type="dxa"/>
          </w:tcPr>
          <w:p w:rsidR="009520A9" w:rsidRDefault="00770482">
            <w:pPr>
              <w:jc w:val="center"/>
            </w:pPr>
            <w:r>
              <w:t>297</w:t>
            </w:r>
          </w:p>
        </w:tc>
        <w:tc>
          <w:tcPr>
            <w:tcW w:w="918" w:type="dxa"/>
          </w:tcPr>
          <w:p w:rsidR="009520A9" w:rsidRDefault="00770482">
            <w:pPr>
              <w:jc w:val="center"/>
            </w:pPr>
            <w:r>
              <w:t>347</w:t>
            </w:r>
          </w:p>
        </w:tc>
      </w:tr>
      <w:tr w:rsidR="009520A9">
        <w:trPr>
          <w:jc w:val="center"/>
        </w:trPr>
        <w:tc>
          <w:tcPr>
            <w:tcW w:w="2245" w:type="dxa"/>
            <w:vAlign w:val="top"/>
          </w:tcPr>
          <w:p w:rsidR="009520A9" w:rsidRDefault="00770482">
            <w:pPr>
              <w:pStyle w:val="CellColumn"/>
              <w:jc w:val="left"/>
            </w:pPr>
            <w:r>
              <w:rPr>
                <w:rFonts w:cs="Times New Roman"/>
              </w:rPr>
              <w:t xml:space="preserve">Broj novougovorenih </w:t>
            </w:r>
          </w:p>
          <w:p w:rsidR="009520A9" w:rsidRDefault="00770482">
            <w:pPr>
              <w:pStyle w:val="CellColumn"/>
              <w:jc w:val="left"/>
            </w:pPr>
            <w:r>
              <w:rPr>
                <w:rFonts w:cs="Times New Roman"/>
              </w:rPr>
              <w:t>Istraživačkih projekata</w:t>
            </w:r>
          </w:p>
        </w:tc>
        <w:tc>
          <w:tcPr>
            <w:tcW w:w="2245" w:type="dxa"/>
            <w:vAlign w:val="top"/>
          </w:tcPr>
          <w:p w:rsidR="009520A9" w:rsidRDefault="00770482">
            <w:pPr>
              <w:pStyle w:val="CellColumn"/>
              <w:jc w:val="left"/>
            </w:pPr>
            <w:r>
              <w:rPr>
                <w:rFonts w:cs="Times New Roman"/>
              </w:rPr>
              <w:t>Broj istraživačkih grupa koje će se projektno financirati, a cilj je omogućiti kontinuitet u financiranju te potaknuti njihovu međunarodnu vidljivost te razvoj društva i gospodarstva.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Baza HRZZ projekata</w:t>
            </w:r>
          </w:p>
        </w:tc>
        <w:tc>
          <w:tcPr>
            <w:tcW w:w="918" w:type="dxa"/>
          </w:tcPr>
          <w:p w:rsidR="009520A9" w:rsidRDefault="00770482">
            <w:pPr>
              <w:jc w:val="center"/>
            </w:pPr>
            <w:r>
              <w:t>72</w:t>
            </w:r>
          </w:p>
        </w:tc>
        <w:tc>
          <w:tcPr>
            <w:tcW w:w="918" w:type="dxa"/>
          </w:tcPr>
          <w:p w:rsidR="009520A9" w:rsidRDefault="00770482">
            <w:pPr>
              <w:jc w:val="center"/>
            </w:pPr>
            <w:r>
              <w:t>72</w:t>
            </w:r>
          </w:p>
        </w:tc>
        <w:tc>
          <w:tcPr>
            <w:tcW w:w="918" w:type="dxa"/>
          </w:tcPr>
          <w:p w:rsidR="009520A9" w:rsidRDefault="00770482">
            <w:pPr>
              <w:jc w:val="center"/>
            </w:pPr>
            <w:r>
              <w:t>72</w:t>
            </w:r>
          </w:p>
        </w:tc>
      </w:tr>
      <w:tr w:rsidR="009520A9">
        <w:trPr>
          <w:jc w:val="center"/>
        </w:trPr>
        <w:tc>
          <w:tcPr>
            <w:tcW w:w="2245" w:type="dxa"/>
            <w:vAlign w:val="top"/>
          </w:tcPr>
          <w:p w:rsidR="009520A9" w:rsidRDefault="00770482">
            <w:pPr>
              <w:pStyle w:val="CellColumn"/>
              <w:jc w:val="left"/>
            </w:pPr>
            <w:r>
              <w:rPr>
                <w:rFonts w:cs="Times New Roman"/>
              </w:rPr>
              <w:t>Broj tekućih Uspostavnih istraživačkih projekata</w:t>
            </w:r>
          </w:p>
        </w:tc>
        <w:tc>
          <w:tcPr>
            <w:tcW w:w="2245" w:type="dxa"/>
            <w:vAlign w:val="top"/>
          </w:tcPr>
          <w:p w:rsidR="009520A9" w:rsidRDefault="00770482">
            <w:pPr>
              <w:pStyle w:val="CellColumn"/>
              <w:jc w:val="left"/>
            </w:pPr>
            <w:r>
              <w:rPr>
                <w:rFonts w:cs="Times New Roman"/>
              </w:rPr>
              <w:t>Broj novo-uspostavljenih istraživačkih grupa na hrvatskim znanstvenim organizacijama kojima se razvija hrvatski znanstveno-istraživački potencijal.</w:t>
            </w:r>
          </w:p>
        </w:tc>
        <w:tc>
          <w:tcPr>
            <w:tcW w:w="918" w:type="dxa"/>
          </w:tcPr>
          <w:p w:rsidR="009520A9" w:rsidRDefault="00770482">
            <w:pPr>
              <w:jc w:val="center"/>
            </w:pPr>
            <w:r>
              <w:t>Broj</w:t>
            </w:r>
          </w:p>
        </w:tc>
        <w:tc>
          <w:tcPr>
            <w:tcW w:w="918" w:type="dxa"/>
          </w:tcPr>
          <w:p w:rsidR="009520A9" w:rsidRDefault="00770482">
            <w:pPr>
              <w:jc w:val="center"/>
            </w:pPr>
            <w:r>
              <w:t>221</w:t>
            </w:r>
          </w:p>
        </w:tc>
        <w:tc>
          <w:tcPr>
            <w:tcW w:w="918" w:type="dxa"/>
          </w:tcPr>
          <w:p w:rsidR="009520A9" w:rsidRDefault="00770482">
            <w:pPr>
              <w:pStyle w:val="CellColumn"/>
              <w:jc w:val="center"/>
            </w:pPr>
            <w:r>
              <w:rPr>
                <w:rFonts w:cs="Times New Roman"/>
              </w:rPr>
              <w:t>Baza HRZZ projekata</w:t>
            </w:r>
          </w:p>
        </w:tc>
        <w:tc>
          <w:tcPr>
            <w:tcW w:w="918" w:type="dxa"/>
          </w:tcPr>
          <w:p w:rsidR="009520A9" w:rsidRDefault="00770482">
            <w:pPr>
              <w:jc w:val="center"/>
            </w:pPr>
            <w:r>
              <w:t>106</w:t>
            </w:r>
          </w:p>
        </w:tc>
        <w:tc>
          <w:tcPr>
            <w:tcW w:w="918" w:type="dxa"/>
          </w:tcPr>
          <w:p w:rsidR="009520A9" w:rsidRDefault="00770482">
            <w:pPr>
              <w:jc w:val="center"/>
            </w:pPr>
            <w:r>
              <w:t>101</w:t>
            </w:r>
          </w:p>
        </w:tc>
        <w:tc>
          <w:tcPr>
            <w:tcW w:w="918" w:type="dxa"/>
          </w:tcPr>
          <w:p w:rsidR="009520A9" w:rsidRDefault="00770482">
            <w:pPr>
              <w:jc w:val="center"/>
            </w:pPr>
            <w:r>
              <w:t>80</w:t>
            </w:r>
          </w:p>
        </w:tc>
      </w:tr>
      <w:tr w:rsidR="009520A9">
        <w:trPr>
          <w:jc w:val="center"/>
        </w:trPr>
        <w:tc>
          <w:tcPr>
            <w:tcW w:w="2245" w:type="dxa"/>
            <w:vAlign w:val="top"/>
          </w:tcPr>
          <w:p w:rsidR="009520A9" w:rsidRDefault="00770482">
            <w:pPr>
              <w:pStyle w:val="CellColumn"/>
              <w:jc w:val="left"/>
            </w:pPr>
            <w:r>
              <w:rPr>
                <w:rFonts w:cs="Times New Roman"/>
              </w:rPr>
              <w:t>Broj novougovrenih Uspostavnih istraživačkih projekata</w:t>
            </w:r>
          </w:p>
        </w:tc>
        <w:tc>
          <w:tcPr>
            <w:tcW w:w="2245" w:type="dxa"/>
            <w:vAlign w:val="top"/>
          </w:tcPr>
          <w:p w:rsidR="009520A9" w:rsidRDefault="00770482">
            <w:pPr>
              <w:pStyle w:val="CellColumn"/>
              <w:jc w:val="left"/>
            </w:pPr>
            <w:r>
              <w:rPr>
                <w:rFonts w:cs="Times New Roman"/>
              </w:rPr>
              <w:t>Broj novo-uspostavljenih istraživačkih grupa na hrvatskim znanstvenim organizacijama kojima se razvija hrvatski znanstveno-istraživački potencijal.</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Baza HRZZ projekata</w:t>
            </w:r>
          </w:p>
        </w:tc>
        <w:tc>
          <w:tcPr>
            <w:tcW w:w="918" w:type="dxa"/>
          </w:tcPr>
          <w:p w:rsidR="009520A9" w:rsidRDefault="00770482">
            <w:pPr>
              <w:jc w:val="center"/>
            </w:pPr>
            <w:r>
              <w:t>20</w:t>
            </w:r>
          </w:p>
        </w:tc>
        <w:tc>
          <w:tcPr>
            <w:tcW w:w="918" w:type="dxa"/>
          </w:tcPr>
          <w:p w:rsidR="009520A9" w:rsidRDefault="00770482">
            <w:pPr>
              <w:jc w:val="center"/>
            </w:pPr>
            <w:r>
              <w:t>20</w:t>
            </w:r>
          </w:p>
        </w:tc>
        <w:tc>
          <w:tcPr>
            <w:tcW w:w="918" w:type="dxa"/>
          </w:tcPr>
          <w:p w:rsidR="009520A9" w:rsidRDefault="00770482">
            <w:pPr>
              <w:jc w:val="center"/>
            </w:pPr>
            <w:r>
              <w:t>20</w:t>
            </w:r>
          </w:p>
        </w:tc>
      </w:tr>
      <w:tr w:rsidR="009520A9">
        <w:trPr>
          <w:jc w:val="center"/>
        </w:trPr>
        <w:tc>
          <w:tcPr>
            <w:tcW w:w="2245" w:type="dxa"/>
            <w:vAlign w:val="top"/>
          </w:tcPr>
          <w:p w:rsidR="009520A9" w:rsidRDefault="00770482">
            <w:pPr>
              <w:pStyle w:val="CellColumn"/>
              <w:jc w:val="left"/>
            </w:pPr>
            <w:r>
              <w:rPr>
                <w:rFonts w:cs="Times New Roman"/>
              </w:rPr>
              <w:t>Broj istraživača</w:t>
            </w:r>
            <w:r>
              <w:rPr>
                <w:rFonts w:cs="Times New Roman"/>
              </w:rPr>
              <w:t xml:space="preserve"> koji su uključeni u provedbu Istraživačkih projekata kao korisnici sredstava</w:t>
            </w:r>
          </w:p>
        </w:tc>
        <w:tc>
          <w:tcPr>
            <w:tcW w:w="2245" w:type="dxa"/>
            <w:vAlign w:val="top"/>
          </w:tcPr>
          <w:p w:rsidR="009520A9" w:rsidRDefault="00770482">
            <w:pPr>
              <w:pStyle w:val="CellColumn"/>
              <w:jc w:val="left"/>
            </w:pPr>
            <w:r>
              <w:rPr>
                <w:rFonts w:cs="Times New Roman"/>
              </w:rPr>
              <w:t>Cilj je razviti kompetencije istraživača za projektno funkcioniranje kako bi se mogli natjecati i za EU fondove te projekte s gospodarstvom te doprinijeti međunarodnoj vidljivost</w:t>
            </w:r>
            <w:r>
              <w:rPr>
                <w:rFonts w:cs="Times New Roman"/>
              </w:rPr>
              <w:t>i hrvatske znanosti.</w:t>
            </w:r>
          </w:p>
        </w:tc>
        <w:tc>
          <w:tcPr>
            <w:tcW w:w="918" w:type="dxa"/>
          </w:tcPr>
          <w:p w:rsidR="009520A9" w:rsidRDefault="00770482">
            <w:pPr>
              <w:jc w:val="center"/>
            </w:pPr>
            <w:r>
              <w:t>Broj</w:t>
            </w:r>
          </w:p>
        </w:tc>
        <w:tc>
          <w:tcPr>
            <w:tcW w:w="918" w:type="dxa"/>
          </w:tcPr>
          <w:p w:rsidR="009520A9" w:rsidRDefault="00770482">
            <w:pPr>
              <w:jc w:val="center"/>
            </w:pPr>
            <w:r>
              <w:t>4897</w:t>
            </w:r>
          </w:p>
        </w:tc>
        <w:tc>
          <w:tcPr>
            <w:tcW w:w="918" w:type="dxa"/>
          </w:tcPr>
          <w:p w:rsidR="009520A9" w:rsidRDefault="00770482">
            <w:pPr>
              <w:pStyle w:val="CellColumn"/>
              <w:jc w:val="center"/>
            </w:pPr>
            <w:r>
              <w:rPr>
                <w:rFonts w:cs="Times New Roman"/>
              </w:rPr>
              <w:t>Baza HRZZ projekata</w:t>
            </w:r>
          </w:p>
        </w:tc>
        <w:tc>
          <w:tcPr>
            <w:tcW w:w="918" w:type="dxa"/>
          </w:tcPr>
          <w:p w:rsidR="009520A9" w:rsidRDefault="00770482">
            <w:pPr>
              <w:jc w:val="center"/>
            </w:pPr>
            <w:r>
              <w:t>5500</w:t>
            </w:r>
          </w:p>
        </w:tc>
        <w:tc>
          <w:tcPr>
            <w:tcW w:w="918" w:type="dxa"/>
          </w:tcPr>
          <w:p w:rsidR="009520A9" w:rsidRDefault="00770482">
            <w:pPr>
              <w:jc w:val="center"/>
            </w:pPr>
            <w:r>
              <w:t>5600</w:t>
            </w:r>
          </w:p>
        </w:tc>
        <w:tc>
          <w:tcPr>
            <w:tcW w:w="918" w:type="dxa"/>
          </w:tcPr>
          <w:p w:rsidR="009520A9" w:rsidRDefault="00770482">
            <w:pPr>
              <w:jc w:val="center"/>
            </w:pPr>
            <w:r>
              <w:t>5700</w:t>
            </w:r>
          </w:p>
        </w:tc>
      </w:tr>
      <w:tr w:rsidR="009520A9">
        <w:trPr>
          <w:jc w:val="center"/>
        </w:trPr>
        <w:tc>
          <w:tcPr>
            <w:tcW w:w="2245" w:type="dxa"/>
            <w:vAlign w:val="top"/>
          </w:tcPr>
          <w:p w:rsidR="009520A9" w:rsidRDefault="00770482">
            <w:pPr>
              <w:pStyle w:val="CellColumn"/>
              <w:jc w:val="left"/>
            </w:pPr>
            <w:r>
              <w:rPr>
                <w:rFonts w:cs="Times New Roman"/>
              </w:rPr>
              <w:t>Broj mladih istraživača koji su zaposleni iz projektnih sredstava</w:t>
            </w:r>
          </w:p>
        </w:tc>
        <w:tc>
          <w:tcPr>
            <w:tcW w:w="2245" w:type="dxa"/>
            <w:vAlign w:val="top"/>
          </w:tcPr>
          <w:p w:rsidR="009520A9" w:rsidRDefault="00770482">
            <w:pPr>
              <w:pStyle w:val="CellColumn"/>
              <w:jc w:val="left"/>
            </w:pPr>
            <w:r>
              <w:rPr>
                <w:rFonts w:cs="Times New Roman"/>
              </w:rPr>
              <w:t>Cilj HRZZ natječaja je izobrazba i ulaganje u razvitak karijere mladih istraživača.</w:t>
            </w:r>
          </w:p>
        </w:tc>
        <w:tc>
          <w:tcPr>
            <w:tcW w:w="918" w:type="dxa"/>
          </w:tcPr>
          <w:p w:rsidR="009520A9" w:rsidRDefault="00770482">
            <w:pPr>
              <w:jc w:val="center"/>
            </w:pPr>
            <w:r>
              <w:t>Broj</w:t>
            </w:r>
          </w:p>
        </w:tc>
        <w:tc>
          <w:tcPr>
            <w:tcW w:w="918" w:type="dxa"/>
          </w:tcPr>
          <w:p w:rsidR="009520A9" w:rsidRDefault="00770482">
            <w:pPr>
              <w:jc w:val="center"/>
            </w:pPr>
            <w:r>
              <w:t>197</w:t>
            </w:r>
          </w:p>
        </w:tc>
        <w:tc>
          <w:tcPr>
            <w:tcW w:w="918" w:type="dxa"/>
          </w:tcPr>
          <w:p w:rsidR="009520A9" w:rsidRDefault="00770482">
            <w:pPr>
              <w:pStyle w:val="CellColumn"/>
              <w:jc w:val="center"/>
            </w:pPr>
            <w:r>
              <w:rPr>
                <w:rFonts w:cs="Times New Roman"/>
              </w:rPr>
              <w:t>Baza HRZZ projekata</w:t>
            </w:r>
          </w:p>
        </w:tc>
        <w:tc>
          <w:tcPr>
            <w:tcW w:w="918" w:type="dxa"/>
          </w:tcPr>
          <w:p w:rsidR="009520A9" w:rsidRDefault="00770482">
            <w:pPr>
              <w:jc w:val="center"/>
            </w:pPr>
            <w:r>
              <w:t>133</w:t>
            </w:r>
          </w:p>
        </w:tc>
        <w:tc>
          <w:tcPr>
            <w:tcW w:w="918" w:type="dxa"/>
          </w:tcPr>
          <w:p w:rsidR="009520A9" w:rsidRDefault="00770482">
            <w:pPr>
              <w:jc w:val="center"/>
            </w:pPr>
            <w:r>
              <w:t>57</w:t>
            </w:r>
          </w:p>
        </w:tc>
        <w:tc>
          <w:tcPr>
            <w:tcW w:w="918" w:type="dxa"/>
          </w:tcPr>
          <w:p w:rsidR="009520A9" w:rsidRDefault="00770482">
            <w:pPr>
              <w:jc w:val="center"/>
            </w:pPr>
            <w:r>
              <w:t>3</w:t>
            </w:r>
          </w:p>
        </w:tc>
      </w:tr>
      <w:tr w:rsidR="009520A9">
        <w:trPr>
          <w:jc w:val="center"/>
        </w:trPr>
        <w:tc>
          <w:tcPr>
            <w:tcW w:w="2245" w:type="dxa"/>
            <w:vAlign w:val="top"/>
          </w:tcPr>
          <w:p w:rsidR="009520A9" w:rsidRDefault="00770482">
            <w:pPr>
              <w:pStyle w:val="CellColumn"/>
              <w:jc w:val="left"/>
            </w:pPr>
            <w:r>
              <w:rPr>
                <w:rFonts w:cs="Times New Roman"/>
              </w:rPr>
              <w:t>Broj mladih istraživača koji će biti zaposleni na novougovorenim projektnim sredstvima</w:t>
            </w:r>
          </w:p>
        </w:tc>
        <w:tc>
          <w:tcPr>
            <w:tcW w:w="2245" w:type="dxa"/>
            <w:vAlign w:val="top"/>
          </w:tcPr>
          <w:p w:rsidR="009520A9" w:rsidRDefault="00770482">
            <w:pPr>
              <w:pStyle w:val="CellColumn"/>
              <w:jc w:val="left"/>
            </w:pPr>
            <w:r>
              <w:rPr>
                <w:rFonts w:cs="Times New Roman"/>
              </w:rPr>
              <w:t>Cilj HRZZ natječaja je izobrazba i ulaganje u razvitak karijere mladih istraživača.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Baza HRZZ projekata</w:t>
            </w:r>
          </w:p>
        </w:tc>
        <w:tc>
          <w:tcPr>
            <w:tcW w:w="918" w:type="dxa"/>
          </w:tcPr>
          <w:p w:rsidR="009520A9" w:rsidRDefault="00770482">
            <w:pPr>
              <w:jc w:val="center"/>
            </w:pPr>
            <w:r>
              <w:t>35</w:t>
            </w:r>
          </w:p>
        </w:tc>
        <w:tc>
          <w:tcPr>
            <w:tcW w:w="918" w:type="dxa"/>
          </w:tcPr>
          <w:p w:rsidR="009520A9" w:rsidRDefault="00770482">
            <w:pPr>
              <w:jc w:val="center"/>
            </w:pPr>
            <w:r>
              <w:t>95</w:t>
            </w:r>
          </w:p>
        </w:tc>
        <w:tc>
          <w:tcPr>
            <w:tcW w:w="918" w:type="dxa"/>
          </w:tcPr>
          <w:p w:rsidR="009520A9" w:rsidRDefault="00770482">
            <w:pPr>
              <w:jc w:val="center"/>
            </w:pPr>
            <w:r>
              <w:t>95</w:t>
            </w:r>
          </w:p>
        </w:tc>
      </w:tr>
    </w:tbl>
    <w:p w:rsidR="009520A9" w:rsidRDefault="009520A9">
      <w:pPr>
        <w:jc w:val="left"/>
      </w:pPr>
    </w:p>
    <w:p w:rsidR="009520A9" w:rsidRDefault="00770482">
      <w:pPr>
        <w:pStyle w:val="Heading4"/>
      </w:pPr>
      <w:r>
        <w:t>A733055 PROGRAM IZVRSNOSTI U VISOKOM OBRAZOVANJU - TENURE-TRACK</w:t>
      </w:r>
    </w:p>
    <w:p w:rsidR="009520A9" w:rsidRDefault="00770482">
      <w:pPr>
        <w:pStyle w:val="Heading8"/>
        <w:jc w:val="left"/>
      </w:pPr>
      <w:r>
        <w:t>Zakonske i druge pravne osnove</w:t>
      </w:r>
    </w:p>
    <w:p w:rsidR="009520A9" w:rsidRDefault="00770482">
      <w:r>
        <w:t xml:space="preserve">- Zakon o visokom obrazovanju i znanstvenoj djelatnosti  </w:t>
      </w:r>
    </w:p>
    <w:p w:rsidR="009520A9" w:rsidRDefault="00770482">
      <w:r>
        <w:t xml:space="preserve">- Zakon o Hrvatskoj zakladi za znanost </w:t>
      </w:r>
    </w:p>
    <w:p w:rsidR="009520A9" w:rsidRDefault="00770482">
      <w:r>
        <w:t xml:space="preserve">- Statut Hrvatske zaklade za znanost </w:t>
      </w:r>
    </w:p>
    <w:p w:rsidR="009520A9" w:rsidRDefault="00770482">
      <w:r>
        <w:t xml:space="preserve">- Okvirni sporazum između Saveznog vijeća Švicarske i Vlade Republike Hrvatske o provedbi Švicarsko-hrvatskog programa suradnje na smanjenju gospodarskih i socijalnih nejednakosti unutar proširene Europske unije </w:t>
      </w:r>
    </w:p>
    <w:p w:rsidR="009520A9" w:rsidRDefault="00770482">
      <w:r>
        <w:t>- Ugovor o projektu „Program izvrsnosti u v</w:t>
      </w:r>
      <w:r>
        <w:t xml:space="preserve">isokom obrazovanju – Tenure Track Pilot Programme” </w:t>
      </w:r>
    </w:p>
    <w:p w:rsidR="009520A9" w:rsidRDefault="00770482">
      <w:r>
        <w:t xml:space="preserve">- Ugovor o provedbi projekta „Program izvrsnosti u visokom obrazovanju – Tenure Track Pilot Programme” </w:t>
      </w:r>
    </w:p>
    <w:p w:rsidR="009520A9" w:rsidRDefault="00770482">
      <w:r>
        <w:t>- Ugovor o suradnji za provedbu Tenure Track Pilot programa</w:t>
      </w:r>
    </w:p>
    <w:tbl>
      <w:tblPr>
        <w:tblStyle w:val="StilTablice"/>
        <w:tblW w:w="10206" w:type="dxa"/>
        <w:jc w:val="center"/>
        <w:tblLook w:val="04A0" w:firstRow="1" w:lastRow="0" w:firstColumn="1" w:lastColumn="0" w:noHBand="0" w:noVBand="1"/>
      </w:tblPr>
      <w:tblGrid>
        <w:gridCol w:w="1476"/>
        <w:gridCol w:w="1570"/>
        <w:gridCol w:w="1556"/>
        <w:gridCol w:w="1556"/>
        <w:gridCol w:w="1539"/>
        <w:gridCol w:w="1539"/>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w:t>
            </w:r>
            <w:r>
              <w:rPr>
                <w:rFonts w:cs="Times New Roman"/>
              </w:rPr>
              <w:t>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A733055</w:t>
            </w:r>
          </w:p>
        </w:tc>
        <w:tc>
          <w:tcPr>
            <w:tcW w:w="1632" w:type="dxa"/>
            <w:vAlign w:val="top"/>
          </w:tcPr>
          <w:p w:rsidR="009520A9" w:rsidRDefault="00770482">
            <w:pPr>
              <w:jc w:val="right"/>
            </w:pPr>
            <w:r>
              <w:t>1.034.472</w:t>
            </w:r>
          </w:p>
        </w:tc>
        <w:tc>
          <w:tcPr>
            <w:tcW w:w="1632" w:type="dxa"/>
            <w:vAlign w:val="top"/>
          </w:tcPr>
          <w:p w:rsidR="009520A9" w:rsidRDefault="00770482">
            <w:pPr>
              <w:jc w:val="right"/>
            </w:pPr>
            <w:r>
              <w:t>375.299</w:t>
            </w:r>
          </w:p>
        </w:tc>
        <w:tc>
          <w:tcPr>
            <w:tcW w:w="1632" w:type="dxa"/>
            <w:vAlign w:val="top"/>
          </w:tcPr>
          <w:p w:rsidR="009520A9" w:rsidRDefault="00770482">
            <w:pPr>
              <w:jc w:val="right"/>
            </w:pPr>
            <w:r>
              <w:t>154.224</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510" w:type="dxa"/>
            <w:vAlign w:val="top"/>
          </w:tcPr>
          <w:p w:rsidR="009520A9" w:rsidRDefault="00770482">
            <w:pPr>
              <w:jc w:val="right"/>
            </w:pPr>
            <w:r>
              <w:t>41,1</w:t>
            </w:r>
          </w:p>
        </w:tc>
      </w:tr>
    </w:tbl>
    <w:p w:rsidR="009520A9" w:rsidRDefault="009520A9">
      <w:pPr>
        <w:jc w:val="left"/>
      </w:pPr>
    </w:p>
    <w:p w:rsidR="009520A9" w:rsidRDefault="00770482">
      <w:r>
        <w:t>Ova aktivnost sastoji se od sljedećih elemenata: usluge promidžbe i informiranja, odnosno rashodi za promotivni materijali koji će biti izrađeni za potrebe završne konferencije, zatim troškovi najma prostora i cateringa za potrebe završne konferencije prog</w:t>
      </w:r>
      <w:r>
        <w:t>rama, troškovi obvezne revizije navedenog programa i završnog vrednovanja, troškovi putovanja predstavnika EPFL-a na sastanak Upravljačkog odbora i završnu konferenciju, te isplate sredstava za financiranje znanstvenih projekata. Materijalni rashodi predst</w:t>
      </w:r>
      <w:r>
        <w:t xml:space="preserve">avljaju 29% ukupnih rashoda, dok isplate sredstava za financiranje znanstveno-istraživačkih projekata čine 71 % ukupnih rashoda. </w:t>
      </w:r>
    </w:p>
    <w:p w:rsidR="009520A9" w:rsidRDefault="00770482">
      <w:r>
        <w:t xml:space="preserve">Provedba ove aktivnosti započela je u 2017. godini, a završava u 2024. godini, stoga nisu iskazani troškovi u projekcijama za 2025. i 2026. godinu. </w:t>
      </w:r>
    </w:p>
    <w:p w:rsidR="009520A9" w:rsidRDefault="00770482">
      <w:r>
        <w:t>Opis aktivnosti: Kroz ovaj program financiraju se znanstveni projekti istraživača u ranoj fazi karijere koj</w:t>
      </w:r>
      <w:r>
        <w:t>ima se omogućuje zapošljavanje na hrvatskoj istraživačkoj instituciji i formiranje vlastite istraživačke grupe u razdoblju od 5 godina. Program se provodi u okviru Švicarsko-hrvatskog programa suradnje.</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međunarodnih projekata</w:t>
            </w:r>
          </w:p>
        </w:tc>
        <w:tc>
          <w:tcPr>
            <w:tcW w:w="2245" w:type="dxa"/>
            <w:vAlign w:val="top"/>
          </w:tcPr>
          <w:p w:rsidR="009520A9" w:rsidRDefault="00770482">
            <w:pPr>
              <w:pStyle w:val="CellColumn"/>
              <w:jc w:val="left"/>
            </w:pPr>
            <w:r>
              <w:rPr>
                <w:rFonts w:cs="Times New Roman"/>
              </w:rPr>
              <w:t>Broj hrvatskih istraživačkih grupa koje se projektno financiraju a rade na zajedničkom međunarodnom pr</w:t>
            </w:r>
            <w:r>
              <w:rPr>
                <w:rFonts w:cs="Times New Roman"/>
              </w:rPr>
              <w:t>ojektu</w:t>
            </w:r>
          </w:p>
        </w:tc>
        <w:tc>
          <w:tcPr>
            <w:tcW w:w="918" w:type="dxa"/>
          </w:tcPr>
          <w:p w:rsidR="009520A9" w:rsidRDefault="00770482">
            <w:pPr>
              <w:jc w:val="center"/>
            </w:pPr>
            <w:r>
              <w:t>Broj</w:t>
            </w:r>
          </w:p>
        </w:tc>
        <w:tc>
          <w:tcPr>
            <w:tcW w:w="918" w:type="dxa"/>
          </w:tcPr>
          <w:p w:rsidR="009520A9" w:rsidRDefault="00770482">
            <w:pPr>
              <w:jc w:val="center"/>
            </w:pPr>
            <w:r>
              <w:t>3</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3</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doktoranda zaposlenih na projektima</w:t>
            </w:r>
          </w:p>
        </w:tc>
        <w:tc>
          <w:tcPr>
            <w:tcW w:w="2245" w:type="dxa"/>
            <w:vAlign w:val="top"/>
          </w:tcPr>
          <w:p w:rsidR="009520A9" w:rsidRDefault="00770482">
            <w:pPr>
              <w:pStyle w:val="CellColumn"/>
              <w:jc w:val="left"/>
            </w:pPr>
            <w:r>
              <w:rPr>
                <w:rFonts w:cs="Times New Roman"/>
              </w:rPr>
              <w:t>Cilj HRZZ natječaja je izobrazba i ulaganje u razvitak karijere mladih istraživača.</w:t>
            </w:r>
          </w:p>
        </w:tc>
        <w:tc>
          <w:tcPr>
            <w:tcW w:w="918" w:type="dxa"/>
          </w:tcPr>
          <w:p w:rsidR="009520A9" w:rsidRDefault="00770482">
            <w:pPr>
              <w:jc w:val="center"/>
            </w:pPr>
            <w:r>
              <w:t>Broj</w:t>
            </w:r>
          </w:p>
        </w:tc>
        <w:tc>
          <w:tcPr>
            <w:tcW w:w="918" w:type="dxa"/>
          </w:tcPr>
          <w:p w:rsidR="009520A9" w:rsidRDefault="00770482">
            <w:pPr>
              <w:jc w:val="center"/>
            </w:pPr>
            <w:r>
              <w:t>5</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5</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poslijedoktoranada zaposlenih na projektima</w:t>
            </w:r>
          </w:p>
        </w:tc>
        <w:tc>
          <w:tcPr>
            <w:tcW w:w="2245" w:type="dxa"/>
            <w:vAlign w:val="top"/>
          </w:tcPr>
          <w:p w:rsidR="009520A9" w:rsidRDefault="00770482">
            <w:pPr>
              <w:pStyle w:val="CellColumn"/>
              <w:jc w:val="left"/>
            </w:pPr>
            <w:r>
              <w:rPr>
                <w:rFonts w:cs="Times New Roman"/>
              </w:rPr>
              <w:t>Cilj HRZZ natječaja je izobrazba i ulaganje u razvitak karijere mladih istraživača.</w:t>
            </w:r>
          </w:p>
        </w:tc>
        <w:tc>
          <w:tcPr>
            <w:tcW w:w="918" w:type="dxa"/>
          </w:tcPr>
          <w:p w:rsidR="009520A9" w:rsidRDefault="00770482">
            <w:pPr>
              <w:jc w:val="center"/>
            </w:pPr>
            <w:r>
              <w:t>Broj</w:t>
            </w:r>
          </w:p>
        </w:tc>
        <w:tc>
          <w:tcPr>
            <w:tcW w:w="918" w:type="dxa"/>
          </w:tcPr>
          <w:p w:rsidR="009520A9" w:rsidRDefault="00770482">
            <w:pPr>
              <w:jc w:val="center"/>
            </w:pPr>
            <w:r>
              <w:t>6</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5</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sastanaka Upravljačkog odbora</w:t>
            </w:r>
          </w:p>
        </w:tc>
        <w:tc>
          <w:tcPr>
            <w:tcW w:w="2245" w:type="dxa"/>
            <w:vAlign w:val="top"/>
          </w:tcPr>
          <w:p w:rsidR="009520A9" w:rsidRDefault="00770482">
            <w:pPr>
              <w:pStyle w:val="CellColumn"/>
              <w:jc w:val="left"/>
            </w:pPr>
            <w:r>
              <w:rPr>
                <w:rFonts w:cs="Times New Roman"/>
              </w:rPr>
              <w:t>Sastanci članova Upravljačkog odbora koji se sastoji od dionika programa</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bl>
    <w:p w:rsidR="009520A9" w:rsidRDefault="009520A9">
      <w:pPr>
        <w:jc w:val="left"/>
      </w:pPr>
    </w:p>
    <w:p w:rsidR="009520A9" w:rsidRDefault="00770482">
      <w:pPr>
        <w:pStyle w:val="Heading4"/>
      </w:pPr>
      <w:r>
        <w:t>A733070 OBZOR ERA-NET QUANTERA II</w:t>
      </w:r>
    </w:p>
    <w:p w:rsidR="009520A9" w:rsidRDefault="00770482">
      <w:pPr>
        <w:pStyle w:val="Heading8"/>
        <w:jc w:val="left"/>
      </w:pPr>
      <w:r>
        <w:t>Zakonske i druge pravne osnove</w:t>
      </w:r>
    </w:p>
    <w:p w:rsidR="009520A9" w:rsidRDefault="00770482">
      <w:r>
        <w:t>- Uredba (EU) br. 1291/2013 Europskog parlamenta i Vijeća od 11- prosinca 2013. o osnivanju Okvirnog programa za istraživanja i inovacije Obzor 2020. (2014.-2020.)i o stavljanju van snage Odl</w:t>
      </w:r>
      <w:r>
        <w:t xml:space="preserve">uke br. 1982/2006EZ </w:t>
      </w:r>
    </w:p>
    <w:p w:rsidR="009520A9" w:rsidRDefault="00770482">
      <w:r>
        <w:t xml:space="preserve">- Pravilnik o unutarnjem redu Hrvatske zaklade za znanost  </w:t>
      </w:r>
    </w:p>
    <w:p w:rsidR="009520A9" w:rsidRDefault="00770482">
      <w:r>
        <w:t xml:space="preserve">- Zakon o visokom obrazovanju i znanstvenoj djelatnosti   </w:t>
      </w:r>
    </w:p>
    <w:p w:rsidR="009520A9" w:rsidRDefault="00770482">
      <w:r>
        <w:t xml:space="preserve">- Zakon o Hrvatskoj zakladi za znanost </w:t>
      </w:r>
    </w:p>
    <w:p w:rsidR="009520A9" w:rsidRDefault="00770482">
      <w:r>
        <w:t xml:space="preserve">- Ugovor o dodjeli bespovratnih sredstava između Europske komisije i konzorcija Quantera (101017733 — Quantera II — H2020-FETFLAG-2018-2020/H2020-FETFLAG-2020-02) </w:t>
      </w:r>
    </w:p>
    <w:p w:rsidR="009520A9" w:rsidRDefault="00770482">
      <w:r>
        <w:t xml:space="preserve">- Konzorcijski ugovor Quantera II Cofund </w:t>
      </w:r>
    </w:p>
    <w:p w:rsidR="009520A9" w:rsidRDefault="00770482">
      <w:r>
        <w:t>- Odluka Ministarstva znanosti i obrazovanja o fin</w:t>
      </w:r>
      <w:r>
        <w:t xml:space="preserve">anciranju ERA-NET Cofund in Quantum Technologies </w:t>
      </w:r>
    </w:p>
    <w:p w:rsidR="009520A9" w:rsidRDefault="00770482">
      <w:r>
        <w:t>- Ugovor o dodjeli sredstava broj 101017733 – ERA-NET Cofund actions</w:t>
      </w:r>
    </w:p>
    <w:tbl>
      <w:tblPr>
        <w:tblStyle w:val="StilTablice"/>
        <w:tblW w:w="10206" w:type="dxa"/>
        <w:jc w:val="center"/>
        <w:tblLook w:val="04A0" w:firstRow="1" w:lastRow="0" w:firstColumn="1" w:lastColumn="0" w:noHBand="0" w:noVBand="1"/>
      </w:tblPr>
      <w:tblGrid>
        <w:gridCol w:w="1476"/>
        <w:gridCol w:w="1563"/>
        <w:gridCol w:w="1547"/>
        <w:gridCol w:w="1556"/>
        <w:gridCol w:w="1547"/>
        <w:gridCol w:w="1547"/>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A733070</w:t>
            </w:r>
          </w:p>
        </w:tc>
        <w:tc>
          <w:tcPr>
            <w:tcW w:w="1632" w:type="dxa"/>
            <w:vAlign w:val="top"/>
          </w:tcPr>
          <w:p w:rsidR="009520A9" w:rsidRDefault="00770482">
            <w:pPr>
              <w:jc w:val="right"/>
            </w:pPr>
            <w:r>
              <w:t>101.901</w:t>
            </w:r>
          </w:p>
        </w:tc>
        <w:tc>
          <w:tcPr>
            <w:tcW w:w="1632" w:type="dxa"/>
            <w:vAlign w:val="top"/>
          </w:tcPr>
          <w:p w:rsidR="009520A9" w:rsidRDefault="00770482">
            <w:pPr>
              <w:jc w:val="right"/>
            </w:pPr>
            <w:r>
              <w:t>66.797</w:t>
            </w:r>
          </w:p>
        </w:tc>
        <w:tc>
          <w:tcPr>
            <w:tcW w:w="1632" w:type="dxa"/>
            <w:vAlign w:val="top"/>
          </w:tcPr>
          <w:p w:rsidR="009520A9" w:rsidRDefault="00770482">
            <w:pPr>
              <w:jc w:val="right"/>
            </w:pPr>
            <w:r>
              <w:t>166.862</w:t>
            </w:r>
          </w:p>
        </w:tc>
        <w:tc>
          <w:tcPr>
            <w:tcW w:w="1632" w:type="dxa"/>
            <w:vAlign w:val="top"/>
          </w:tcPr>
          <w:p w:rsidR="009520A9" w:rsidRDefault="00770482">
            <w:pPr>
              <w:jc w:val="right"/>
            </w:pPr>
            <w:r>
              <w:t>70.343</w:t>
            </w:r>
          </w:p>
        </w:tc>
        <w:tc>
          <w:tcPr>
            <w:tcW w:w="1632" w:type="dxa"/>
            <w:vAlign w:val="top"/>
          </w:tcPr>
          <w:p w:rsidR="009520A9" w:rsidRDefault="00770482">
            <w:pPr>
              <w:jc w:val="right"/>
            </w:pPr>
            <w:r>
              <w:t>67.278</w:t>
            </w:r>
          </w:p>
        </w:tc>
        <w:tc>
          <w:tcPr>
            <w:tcW w:w="510" w:type="dxa"/>
            <w:vAlign w:val="top"/>
          </w:tcPr>
          <w:p w:rsidR="009520A9" w:rsidRDefault="00770482">
            <w:pPr>
              <w:jc w:val="right"/>
            </w:pPr>
            <w:r>
              <w:t>249,8</w:t>
            </w:r>
          </w:p>
        </w:tc>
      </w:tr>
    </w:tbl>
    <w:p w:rsidR="009520A9" w:rsidRDefault="009520A9">
      <w:pPr>
        <w:jc w:val="left"/>
      </w:pPr>
    </w:p>
    <w:p w:rsidR="009520A9" w:rsidRDefault="00770482">
      <w:r>
        <w:t>Ova aktivnost sastoji se od sljedećih elemenata: materijalni rashodi koji se odnose na naknade troškova službenih putovanja zaposlenika Zaklade a čine 2% ukupnih rashoda u 2024. godini, isplate sredstava za financiranje znanstveno-istraživač</w:t>
      </w:r>
      <w:r>
        <w:t>kih projekata koji su trenutno u provedbi (ugovorne obveze) a čine 21% ukupnih rashoda u 2024. godini, te za znanstveno-istraživačke projekte koji će se financirati na novim javnim pozivima a koji čine 77% ukupnih rashoda u 2024. godini. U 2025. godini mat</w:t>
      </w:r>
      <w:r>
        <w:t xml:space="preserve">erijalni rashodi čine 6% ukupnih rashoda, dok isplate za znanstveno-istraživačke projekte čine 94% ukupnih rashoda. U 2026. godini su planirani rashodi isključivo za isplatu sredstava za znanstveno-istraživačke projekte. </w:t>
      </w:r>
    </w:p>
    <w:p w:rsidR="009520A9" w:rsidRDefault="00770482">
      <w:r>
        <w:t>Provedba ove aktivnosti započela j</w:t>
      </w:r>
      <w:r>
        <w:t xml:space="preserve">e u 2021. godini. </w:t>
      </w:r>
    </w:p>
    <w:p w:rsidR="009520A9" w:rsidRDefault="00770482">
      <w:r>
        <w:t xml:space="preserve">Quantera II (QuantERA- ERA-NET Cofund in Quantum Technologies II) je konzorcij agencija i fundacija koje financiraju transnacionalne projekte i aktivnosti u novom području kvantnih tehnologija u europskom gospodarskom prostoru, nastavak </w:t>
      </w:r>
      <w:r>
        <w:t>programa Quantera I. Sufinancira se iz sredstava Europske komisije kojima upravlja koordinator projekta Narodowe Centrum Nauki iz Poljske.</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w:t>
            </w:r>
            <w:r>
              <w:rPr>
                <w:rFonts w:cs="Times New Roman"/>
              </w:rPr>
              <w:t>2024.)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međunarodnih projekata</w:t>
            </w:r>
          </w:p>
        </w:tc>
        <w:tc>
          <w:tcPr>
            <w:tcW w:w="2245" w:type="dxa"/>
            <w:vAlign w:val="top"/>
          </w:tcPr>
          <w:p w:rsidR="009520A9" w:rsidRDefault="00770482">
            <w:pPr>
              <w:pStyle w:val="CellColumn"/>
              <w:jc w:val="left"/>
            </w:pPr>
            <w:r>
              <w:rPr>
                <w:rFonts w:cs="Times New Roman"/>
              </w:rPr>
              <w:t>Broj hrvatskih istraživačkih grupa koje se projektno financiraju a rade na zajedničkom međunarodnom projektu</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2</w:t>
            </w:r>
          </w:p>
        </w:tc>
        <w:tc>
          <w:tcPr>
            <w:tcW w:w="918" w:type="dxa"/>
          </w:tcPr>
          <w:p w:rsidR="009520A9" w:rsidRDefault="00770482">
            <w:pPr>
              <w:jc w:val="center"/>
            </w:pPr>
            <w:r>
              <w:t>1</w:t>
            </w:r>
          </w:p>
        </w:tc>
        <w:tc>
          <w:tcPr>
            <w:tcW w:w="918" w:type="dxa"/>
          </w:tcPr>
          <w:p w:rsidR="009520A9" w:rsidRDefault="00770482">
            <w:pPr>
              <w:jc w:val="center"/>
            </w:pPr>
            <w:r>
              <w:t>1</w:t>
            </w:r>
          </w:p>
        </w:tc>
      </w:tr>
      <w:tr w:rsidR="009520A9">
        <w:trPr>
          <w:jc w:val="center"/>
        </w:trPr>
        <w:tc>
          <w:tcPr>
            <w:tcW w:w="2245" w:type="dxa"/>
            <w:vAlign w:val="top"/>
          </w:tcPr>
          <w:p w:rsidR="009520A9" w:rsidRDefault="00770482">
            <w:pPr>
              <w:pStyle w:val="CellColumn"/>
              <w:jc w:val="left"/>
            </w:pPr>
            <w:r>
              <w:rPr>
                <w:rFonts w:cs="Times New Roman"/>
              </w:rPr>
              <w:t>Broj istraživača na međunarodnim projektima</w:t>
            </w:r>
          </w:p>
        </w:tc>
        <w:tc>
          <w:tcPr>
            <w:tcW w:w="2245" w:type="dxa"/>
            <w:vAlign w:val="top"/>
          </w:tcPr>
          <w:p w:rsidR="009520A9" w:rsidRDefault="00770482">
            <w:pPr>
              <w:pStyle w:val="CellColumn"/>
              <w:jc w:val="left"/>
            </w:pPr>
            <w:r>
              <w:rPr>
                <w:rFonts w:cs="Times New Roman"/>
              </w:rPr>
              <w:t>Broj hrvatskih istraživača koji uključeni u provedbu međunarodnih istraživačkih projekata kao korisnici sredstava</w:t>
            </w:r>
          </w:p>
        </w:tc>
        <w:tc>
          <w:tcPr>
            <w:tcW w:w="918" w:type="dxa"/>
          </w:tcPr>
          <w:p w:rsidR="009520A9" w:rsidRDefault="00770482">
            <w:pPr>
              <w:jc w:val="center"/>
            </w:pPr>
            <w:r>
              <w:t>Broj</w:t>
            </w:r>
          </w:p>
        </w:tc>
        <w:tc>
          <w:tcPr>
            <w:tcW w:w="918" w:type="dxa"/>
          </w:tcPr>
          <w:p w:rsidR="009520A9" w:rsidRDefault="00770482">
            <w:pPr>
              <w:jc w:val="center"/>
            </w:pPr>
            <w:r>
              <w:t>5</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5</w:t>
            </w:r>
          </w:p>
        </w:tc>
        <w:tc>
          <w:tcPr>
            <w:tcW w:w="918" w:type="dxa"/>
          </w:tcPr>
          <w:p w:rsidR="009520A9" w:rsidRDefault="00770482">
            <w:pPr>
              <w:jc w:val="center"/>
            </w:pPr>
            <w:r>
              <w:t>2</w:t>
            </w:r>
          </w:p>
        </w:tc>
        <w:tc>
          <w:tcPr>
            <w:tcW w:w="918" w:type="dxa"/>
          </w:tcPr>
          <w:p w:rsidR="009520A9" w:rsidRDefault="00770482">
            <w:pPr>
              <w:jc w:val="center"/>
            </w:pPr>
            <w:r>
              <w:t>2</w:t>
            </w:r>
          </w:p>
        </w:tc>
      </w:tr>
      <w:tr w:rsidR="009520A9">
        <w:trPr>
          <w:jc w:val="center"/>
        </w:trPr>
        <w:tc>
          <w:tcPr>
            <w:tcW w:w="2245" w:type="dxa"/>
            <w:vAlign w:val="top"/>
          </w:tcPr>
          <w:p w:rsidR="009520A9" w:rsidRDefault="00770482">
            <w:pPr>
              <w:pStyle w:val="CellColumn"/>
              <w:jc w:val="left"/>
            </w:pPr>
            <w:r>
              <w:rPr>
                <w:rFonts w:cs="Times New Roman"/>
              </w:rPr>
              <w:t>Broj viših asistenata koji su zaposleni iz projektnih sredstava.</w:t>
            </w:r>
          </w:p>
        </w:tc>
        <w:tc>
          <w:tcPr>
            <w:tcW w:w="2245" w:type="dxa"/>
            <w:vAlign w:val="top"/>
          </w:tcPr>
          <w:p w:rsidR="009520A9" w:rsidRDefault="00770482">
            <w:pPr>
              <w:pStyle w:val="CellColumn"/>
              <w:jc w:val="left"/>
            </w:pPr>
            <w:r>
              <w:rPr>
                <w:rFonts w:cs="Times New Roman"/>
              </w:rPr>
              <w:t>Cilj HRZZ natj</w:t>
            </w:r>
            <w:r>
              <w:rPr>
                <w:rFonts w:cs="Times New Roman"/>
              </w:rPr>
              <w:t>ečaja je izobrazba i ulaganje u razvitak karijere mladih istraživača.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r w:rsidR="009520A9">
        <w:trPr>
          <w:jc w:val="center"/>
        </w:trPr>
        <w:tc>
          <w:tcPr>
            <w:tcW w:w="2245" w:type="dxa"/>
            <w:vAlign w:val="top"/>
          </w:tcPr>
          <w:p w:rsidR="009520A9" w:rsidRDefault="00770482">
            <w:pPr>
              <w:pStyle w:val="CellColumn"/>
              <w:jc w:val="left"/>
            </w:pPr>
            <w:r>
              <w:rPr>
                <w:rFonts w:cs="Times New Roman"/>
              </w:rPr>
              <w:t>Broj sastanaka u okviru međunarodnog konzorcija za potrebe provedbe programa</w:t>
            </w:r>
          </w:p>
        </w:tc>
        <w:tc>
          <w:tcPr>
            <w:tcW w:w="2245" w:type="dxa"/>
            <w:vAlign w:val="top"/>
          </w:tcPr>
          <w:p w:rsidR="009520A9" w:rsidRDefault="00770482">
            <w:pPr>
              <w:pStyle w:val="CellColumn"/>
              <w:jc w:val="left"/>
            </w:pPr>
            <w:r>
              <w:rPr>
                <w:rFonts w:cs="Times New Roman"/>
              </w:rPr>
              <w:t>Sastanci članica konzorcija s ciljem koordinacije transnacionalnih aktivnosti u području kvantnih tehnologija</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1</w:t>
            </w:r>
          </w:p>
        </w:tc>
        <w:tc>
          <w:tcPr>
            <w:tcW w:w="918" w:type="dxa"/>
          </w:tcPr>
          <w:p w:rsidR="009520A9" w:rsidRDefault="00770482">
            <w:pPr>
              <w:jc w:val="center"/>
            </w:pPr>
            <w:r>
              <w:t>1</w:t>
            </w:r>
          </w:p>
        </w:tc>
        <w:tc>
          <w:tcPr>
            <w:tcW w:w="918" w:type="dxa"/>
          </w:tcPr>
          <w:p w:rsidR="009520A9" w:rsidRDefault="00770482">
            <w:pPr>
              <w:jc w:val="center"/>
            </w:pPr>
            <w:r>
              <w:t>1</w:t>
            </w:r>
          </w:p>
        </w:tc>
      </w:tr>
    </w:tbl>
    <w:p w:rsidR="009520A9" w:rsidRDefault="009520A9">
      <w:pPr>
        <w:jc w:val="left"/>
      </w:pPr>
    </w:p>
    <w:p w:rsidR="009520A9" w:rsidRDefault="00770482">
      <w:pPr>
        <w:pStyle w:val="Heading4"/>
      </w:pPr>
      <w:r>
        <w:t>A733071 OBZOR ERA-NET BLUEBIOECONOMY</w:t>
      </w:r>
    </w:p>
    <w:p w:rsidR="009520A9" w:rsidRDefault="00770482">
      <w:pPr>
        <w:pStyle w:val="Heading8"/>
        <w:jc w:val="left"/>
      </w:pPr>
      <w:r>
        <w:t>Zakonske i druge pravne osnove</w:t>
      </w:r>
    </w:p>
    <w:p w:rsidR="009520A9" w:rsidRDefault="00770482">
      <w:r>
        <w:t xml:space="preserve">- Uredba (EU) br. 1291/2013 Europskog parlamenta i Vijeća </w:t>
      </w:r>
      <w:r>
        <w:t xml:space="preserve">od 11- prosinca 2013. o osnivanju Okvirnog programa za istraživanja i inovacije Obzor 2020. (2014.-2020.)i o stavljanju van snage Odluke br. 1982/2006EZ </w:t>
      </w:r>
    </w:p>
    <w:p w:rsidR="009520A9" w:rsidRDefault="00770482">
      <w:r>
        <w:t xml:space="preserve">- Pravilnik o unutarnjem redu Hrvatske zaklade za znanost  </w:t>
      </w:r>
    </w:p>
    <w:p w:rsidR="009520A9" w:rsidRDefault="00770482">
      <w:r>
        <w:t>- Zakon o visokom obrazovanju i znanstveno</w:t>
      </w:r>
      <w:r>
        <w:t xml:space="preserve">j djelatnosti   </w:t>
      </w:r>
    </w:p>
    <w:p w:rsidR="009520A9" w:rsidRDefault="00770482">
      <w:r>
        <w:t xml:space="preserve">- Zakon o Hrvatskoj zakladi za znanost </w:t>
      </w:r>
    </w:p>
    <w:p w:rsidR="009520A9" w:rsidRDefault="00770482">
      <w:r>
        <w:t xml:space="preserve">- Konzorcijski ugovor – ERA-NET Cofund on Blue Bioeconomy </w:t>
      </w:r>
    </w:p>
    <w:p w:rsidR="009520A9" w:rsidRDefault="00770482">
      <w:r>
        <w:t>-  Ugovor o dodjeli bespovratnih sredstava broj 817992 – BlueBio</w:t>
      </w:r>
    </w:p>
    <w:tbl>
      <w:tblPr>
        <w:tblStyle w:val="StilTablice"/>
        <w:tblW w:w="10206" w:type="dxa"/>
        <w:jc w:val="center"/>
        <w:tblLook w:val="04A0" w:firstRow="1" w:lastRow="0" w:firstColumn="1" w:lastColumn="0" w:noHBand="0" w:noVBand="1"/>
      </w:tblPr>
      <w:tblGrid>
        <w:gridCol w:w="1477"/>
        <w:gridCol w:w="1567"/>
        <w:gridCol w:w="1552"/>
        <w:gridCol w:w="1552"/>
        <w:gridCol w:w="1544"/>
        <w:gridCol w:w="1544"/>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Izvršenje 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A733071</w:t>
            </w:r>
          </w:p>
        </w:tc>
        <w:tc>
          <w:tcPr>
            <w:tcW w:w="1632" w:type="dxa"/>
            <w:vAlign w:val="top"/>
          </w:tcPr>
          <w:p w:rsidR="009520A9" w:rsidRDefault="00770482">
            <w:pPr>
              <w:jc w:val="right"/>
            </w:pPr>
            <w:r>
              <w:t>85.988</w:t>
            </w:r>
          </w:p>
        </w:tc>
        <w:tc>
          <w:tcPr>
            <w:tcW w:w="1632" w:type="dxa"/>
            <w:vAlign w:val="top"/>
          </w:tcPr>
          <w:p w:rsidR="009520A9" w:rsidRDefault="00770482">
            <w:pPr>
              <w:jc w:val="right"/>
            </w:pPr>
            <w:r>
              <w:t>66.334</w:t>
            </w:r>
          </w:p>
        </w:tc>
        <w:tc>
          <w:tcPr>
            <w:tcW w:w="1632" w:type="dxa"/>
            <w:vAlign w:val="top"/>
          </w:tcPr>
          <w:p w:rsidR="009520A9" w:rsidRDefault="00770482">
            <w:pPr>
              <w:jc w:val="right"/>
            </w:pPr>
            <w:r>
              <w:t>28.655</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510" w:type="dxa"/>
            <w:vAlign w:val="top"/>
          </w:tcPr>
          <w:p w:rsidR="009520A9" w:rsidRDefault="00770482">
            <w:pPr>
              <w:jc w:val="right"/>
            </w:pPr>
            <w:r>
              <w:t>43,2</w:t>
            </w:r>
          </w:p>
        </w:tc>
      </w:tr>
    </w:tbl>
    <w:p w:rsidR="009520A9" w:rsidRDefault="009520A9">
      <w:pPr>
        <w:jc w:val="left"/>
      </w:pPr>
    </w:p>
    <w:p w:rsidR="009520A9" w:rsidRDefault="00770482">
      <w:r>
        <w:t>Ova aktivnost sastoji se od sljedećih elemenata: materijalni rashodi koji uključuju naknade troškova službenih putovanja zaposlenika Zaklade a koji čine 3% ukupnih rashoda, te isplate sredstava za financiranje znanstveno-istraživačkih projekata koji čine 9</w:t>
      </w:r>
      <w:r>
        <w:t xml:space="preserve">7% ukupnih rashoda. Na ovoj aktivnosti nisu planirani rashodi tijekom 2025. i 2026. godine. </w:t>
      </w:r>
    </w:p>
    <w:p w:rsidR="009520A9" w:rsidRDefault="00770482">
      <w:r>
        <w:t xml:space="preserve">Provedba ove aktivnosti započela je u 2021. godini. </w:t>
      </w:r>
    </w:p>
    <w:p w:rsidR="009520A9" w:rsidRDefault="00770482">
      <w:r>
        <w:t>Opis aktivnosti: BlueBio mreža okuplja konzorcij agencija i fundacija koje financiraju istraživanja i inovacij</w:t>
      </w:r>
      <w:r>
        <w:t>e  s ciljem provedbe projekata i dodatnih aktivnosti usmjerene održivom i kružnom upravljanje i korištenje prirodnih resursa u plavom biogospodarstvu, što uključuje integrirani pristup prehrambenim sustavima kako bi se osigurali integritet i otpornost ekos</w:t>
      </w:r>
      <w:r>
        <w:t>ustava. Sufinancira se iz sredstava Europske komisije kojima upravlja koordinator projekta Research Council of Norway iz Norveške.</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(2024.)</w:t>
            </w:r>
          </w:p>
        </w:tc>
        <w:tc>
          <w:tcPr>
            <w:tcW w:w="918" w:type="dxa"/>
            <w:shd w:val="clear" w:color="auto" w:fill="B5C0D8"/>
          </w:tcPr>
          <w:p w:rsidR="009520A9" w:rsidRDefault="00770482">
            <w:pPr>
              <w:pStyle w:val="CellHeader"/>
              <w:jc w:val="center"/>
            </w:pPr>
            <w:r>
              <w:rPr>
                <w:rFonts w:cs="Times New Roman"/>
              </w:rPr>
              <w:t>C</w:t>
            </w:r>
            <w:r>
              <w:rPr>
                <w:rFonts w:cs="Times New Roman"/>
              </w:rPr>
              <w:t>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međunarodnih projekata</w:t>
            </w:r>
          </w:p>
        </w:tc>
        <w:tc>
          <w:tcPr>
            <w:tcW w:w="2245" w:type="dxa"/>
            <w:vAlign w:val="top"/>
          </w:tcPr>
          <w:p w:rsidR="009520A9" w:rsidRDefault="00770482">
            <w:pPr>
              <w:pStyle w:val="CellColumn"/>
              <w:jc w:val="left"/>
            </w:pPr>
            <w:r>
              <w:rPr>
                <w:rFonts w:cs="Times New Roman"/>
              </w:rPr>
              <w:t>Broj hrvatskih istraživačkih grupa koje se projektno financiraju a rade na zajedničkom međunarodnom projektu</w:t>
            </w:r>
          </w:p>
        </w:tc>
        <w:tc>
          <w:tcPr>
            <w:tcW w:w="918" w:type="dxa"/>
          </w:tcPr>
          <w:p w:rsidR="009520A9" w:rsidRDefault="00770482">
            <w:pPr>
              <w:jc w:val="center"/>
            </w:pPr>
            <w:r>
              <w:t>Broj</w:t>
            </w:r>
          </w:p>
        </w:tc>
        <w:tc>
          <w:tcPr>
            <w:tcW w:w="918" w:type="dxa"/>
          </w:tcPr>
          <w:p w:rsidR="009520A9" w:rsidRDefault="00770482">
            <w:pPr>
              <w:jc w:val="center"/>
            </w:pPr>
            <w:r>
              <w:t>2</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istraživača na međunarodnim projektima</w:t>
            </w:r>
          </w:p>
        </w:tc>
        <w:tc>
          <w:tcPr>
            <w:tcW w:w="2245" w:type="dxa"/>
            <w:vAlign w:val="top"/>
          </w:tcPr>
          <w:p w:rsidR="009520A9" w:rsidRDefault="00770482">
            <w:pPr>
              <w:pStyle w:val="CellColumn"/>
              <w:jc w:val="left"/>
            </w:pPr>
            <w:r>
              <w:rPr>
                <w:rFonts w:cs="Times New Roman"/>
              </w:rPr>
              <w:t>Broj hrvatskih istraživača koji uključeni u provedbu međunarodnih istraživačkih projekata kao korisnici sredstava</w:t>
            </w:r>
          </w:p>
        </w:tc>
        <w:tc>
          <w:tcPr>
            <w:tcW w:w="918" w:type="dxa"/>
          </w:tcPr>
          <w:p w:rsidR="009520A9" w:rsidRDefault="00770482">
            <w:pPr>
              <w:jc w:val="center"/>
            </w:pPr>
            <w:r>
              <w:t>Broj</w:t>
            </w:r>
          </w:p>
        </w:tc>
        <w:tc>
          <w:tcPr>
            <w:tcW w:w="918" w:type="dxa"/>
          </w:tcPr>
          <w:p w:rsidR="009520A9" w:rsidRDefault="00770482">
            <w:pPr>
              <w:jc w:val="center"/>
            </w:pPr>
            <w:r>
              <w:t>11</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4</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viših asistenata koji su zaposleni iz projektnih sredstava.</w:t>
            </w:r>
          </w:p>
        </w:tc>
        <w:tc>
          <w:tcPr>
            <w:tcW w:w="2245" w:type="dxa"/>
            <w:vAlign w:val="top"/>
          </w:tcPr>
          <w:p w:rsidR="009520A9" w:rsidRDefault="00770482">
            <w:pPr>
              <w:pStyle w:val="CellColumn"/>
              <w:jc w:val="left"/>
            </w:pPr>
            <w:r>
              <w:rPr>
                <w:rFonts w:cs="Times New Roman"/>
              </w:rPr>
              <w:t>Cilj HRZZ natječaja je izobrazba i ulaganje u razvitak ka</w:t>
            </w:r>
            <w:r>
              <w:rPr>
                <w:rFonts w:cs="Times New Roman"/>
              </w:rPr>
              <w:t>rijere mladih istraživača.</w:t>
            </w:r>
          </w:p>
        </w:tc>
        <w:tc>
          <w:tcPr>
            <w:tcW w:w="918" w:type="dxa"/>
          </w:tcPr>
          <w:p w:rsidR="009520A9" w:rsidRDefault="00770482">
            <w:pPr>
              <w:jc w:val="center"/>
            </w:pPr>
            <w:r>
              <w:t>Broj</w:t>
            </w:r>
          </w:p>
        </w:tc>
        <w:tc>
          <w:tcPr>
            <w:tcW w:w="918" w:type="dxa"/>
          </w:tcPr>
          <w:p w:rsidR="009520A9" w:rsidRDefault="00770482">
            <w:pPr>
              <w:jc w:val="center"/>
            </w:pPr>
            <w:r>
              <w:t>2</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2</w:t>
            </w:r>
          </w:p>
        </w:tc>
        <w:tc>
          <w:tcPr>
            <w:tcW w:w="918" w:type="dxa"/>
          </w:tcPr>
          <w:p w:rsidR="009520A9" w:rsidRDefault="00770482">
            <w:pPr>
              <w:jc w:val="center"/>
            </w:pPr>
            <w:r>
              <w:t>0</w:t>
            </w:r>
          </w:p>
        </w:tc>
        <w:tc>
          <w:tcPr>
            <w:tcW w:w="918" w:type="dxa"/>
          </w:tcPr>
          <w:p w:rsidR="009520A9" w:rsidRDefault="00770482">
            <w:pPr>
              <w:jc w:val="center"/>
            </w:pPr>
            <w:r>
              <w:t>0</w:t>
            </w:r>
          </w:p>
        </w:tc>
      </w:tr>
      <w:tr w:rsidR="009520A9">
        <w:trPr>
          <w:jc w:val="center"/>
        </w:trPr>
        <w:tc>
          <w:tcPr>
            <w:tcW w:w="2245" w:type="dxa"/>
            <w:vAlign w:val="top"/>
          </w:tcPr>
          <w:p w:rsidR="009520A9" w:rsidRDefault="00770482">
            <w:pPr>
              <w:pStyle w:val="CellColumn"/>
              <w:jc w:val="left"/>
            </w:pPr>
            <w:r>
              <w:rPr>
                <w:rFonts w:cs="Times New Roman"/>
              </w:rPr>
              <w:t>Broj sastanaka u okviru međunarodnog konzorcija za potrebe provedbe programa</w:t>
            </w:r>
          </w:p>
        </w:tc>
        <w:tc>
          <w:tcPr>
            <w:tcW w:w="2245" w:type="dxa"/>
            <w:vAlign w:val="top"/>
          </w:tcPr>
          <w:p w:rsidR="009520A9" w:rsidRDefault="00770482">
            <w:pPr>
              <w:pStyle w:val="CellColumn"/>
              <w:jc w:val="left"/>
            </w:pPr>
            <w:r>
              <w:rPr>
                <w:rFonts w:cs="Times New Roman"/>
              </w:rPr>
              <w:t>Sastanci članica konzorcija s ciljem koordinacije transnacionalnih aktivnosti u području društvenih i humanističkih znanosti</w:t>
            </w:r>
          </w:p>
        </w:tc>
        <w:tc>
          <w:tcPr>
            <w:tcW w:w="918" w:type="dxa"/>
          </w:tcPr>
          <w:p w:rsidR="009520A9" w:rsidRDefault="00770482">
            <w:pPr>
              <w:jc w:val="center"/>
            </w:pPr>
            <w:r>
              <w:t>Broj</w:t>
            </w:r>
          </w:p>
        </w:tc>
        <w:tc>
          <w:tcPr>
            <w:tcW w:w="918" w:type="dxa"/>
          </w:tcPr>
          <w:p w:rsidR="009520A9" w:rsidRDefault="00770482">
            <w:pPr>
              <w:jc w:val="center"/>
            </w:pPr>
            <w:r>
              <w:t>1</w:t>
            </w:r>
          </w:p>
        </w:tc>
        <w:tc>
          <w:tcPr>
            <w:tcW w:w="918" w:type="dxa"/>
          </w:tcPr>
          <w:p w:rsidR="009520A9" w:rsidRDefault="00770482">
            <w:pPr>
              <w:pStyle w:val="CellColumn"/>
              <w:jc w:val="center"/>
            </w:pPr>
            <w:r>
              <w:rPr>
                <w:rFonts w:cs="Times New Roman"/>
              </w:rPr>
              <w:t>HRZZ</w:t>
            </w:r>
          </w:p>
        </w:tc>
        <w:tc>
          <w:tcPr>
            <w:tcW w:w="918" w:type="dxa"/>
          </w:tcPr>
          <w:p w:rsidR="009520A9" w:rsidRDefault="00770482">
            <w:pPr>
              <w:jc w:val="center"/>
            </w:pPr>
            <w:r>
              <w:t>1</w:t>
            </w:r>
          </w:p>
        </w:tc>
        <w:tc>
          <w:tcPr>
            <w:tcW w:w="918" w:type="dxa"/>
          </w:tcPr>
          <w:p w:rsidR="009520A9" w:rsidRDefault="00770482">
            <w:pPr>
              <w:jc w:val="center"/>
            </w:pPr>
            <w:r>
              <w:t>0</w:t>
            </w:r>
          </w:p>
        </w:tc>
        <w:tc>
          <w:tcPr>
            <w:tcW w:w="918" w:type="dxa"/>
          </w:tcPr>
          <w:p w:rsidR="009520A9" w:rsidRDefault="00770482">
            <w:pPr>
              <w:jc w:val="center"/>
            </w:pPr>
            <w:r>
              <w:t>0</w:t>
            </w:r>
          </w:p>
        </w:tc>
      </w:tr>
    </w:tbl>
    <w:p w:rsidR="009520A9" w:rsidRDefault="009520A9">
      <w:pPr>
        <w:jc w:val="left"/>
      </w:pPr>
    </w:p>
    <w:p w:rsidR="009520A9" w:rsidRDefault="00770482">
      <w:pPr>
        <w:pStyle w:val="Heading4"/>
      </w:pPr>
      <w:r>
        <w:t>A733073 PROGRAM RAZVOJA KARIJERA MLADIH ISTRAŽIVAČA - IZOBRAZBA NOVIH DOKTORA ZNANOSTI - NPOO (C3.2. R2-I1 )</w:t>
      </w:r>
    </w:p>
    <w:p w:rsidR="009520A9" w:rsidRDefault="00770482">
      <w:pPr>
        <w:pStyle w:val="Heading8"/>
        <w:jc w:val="left"/>
      </w:pPr>
      <w:r>
        <w:t>Zakonske i druge pravne osnove</w:t>
      </w:r>
    </w:p>
    <w:p w:rsidR="009520A9" w:rsidRDefault="00770482">
      <w:r>
        <w:t xml:space="preserve">- Uredba (EU) 2021/241 Europskog Parlamenta i Vijeća od 12. veljače 2021. o uspostavi Mehanizma za oporavak i otpornost (eng. Recovery and Resilience Facility – RRF, SL L 57, 18. 2. 2021.); </w:t>
      </w:r>
    </w:p>
    <w:p w:rsidR="009520A9" w:rsidRDefault="00770482">
      <w:r>
        <w:t>- Uredba (EU, Euratom) 2018/1046 Europskog parlamenta i Vijeća od</w:t>
      </w:r>
      <w:r>
        <w:t xml:space="preserve"> 18. srpnja 2018. o financijskim pravilima koja se primjenjuju na opći proračun Unije, o izmjeni uredbi (EU) br. 1296/2013, (EU) br. 1301/2013, (EU) br. 1303/2013, (EU) br. 1304/2013, (EU) br. 1309/2013, (EU) br. 1316/2013, (EU) br. 223/2014, (EU) br. 283/</w:t>
      </w:r>
      <w:r>
        <w:t xml:space="preserve">2014 i Odluke br. 541/2014/EU te o stavljanju izvan snage Uredbe (EU, Euratom) br. 966/2012 </w:t>
      </w:r>
    </w:p>
    <w:p w:rsidR="009520A9" w:rsidRDefault="00770482">
      <w:r>
        <w:t>- Provedbena odluka Vijeća o odobrenju ocjene plana za oporavak i otpornost Hrvatske (eng. Council Implementing Decision on the approval of the assessment of the r</w:t>
      </w:r>
      <w:r>
        <w:t xml:space="preserve">ecovery and resilience plan for Croatia - 2021/0222 (NLE), 20.7.2021.) </w:t>
      </w:r>
    </w:p>
    <w:p w:rsidR="009520A9" w:rsidRDefault="00770482">
      <w:r>
        <w:t xml:space="preserve">- Prilog Provedbenoj odluci Vijeća o odobrenju ocjene plana za oporavak i otpornost Hrvatske (HR) (eng. Annex to the Council Implementing Decision on the approval of the assessment of </w:t>
      </w:r>
      <w:r>
        <w:t xml:space="preserve">the recovery and resilience plan for Croatia) </w:t>
      </w:r>
    </w:p>
    <w:p w:rsidR="009520A9" w:rsidRDefault="00770482">
      <w:r>
        <w:t xml:space="preserve">- Operativni sporazum za provedbu Nacionalnog plana oporavka i otpornosti 2021.-2026. </w:t>
      </w:r>
    </w:p>
    <w:p w:rsidR="009520A9" w:rsidRDefault="00770482">
      <w:r>
        <w:t>- Odluka o sustavu upravljanja i praćenju provedbe aktivnosti u okviru Nacionalnog plana oporavka i otpornosti 2021. – 202</w:t>
      </w:r>
      <w:r>
        <w:t xml:space="preserve">6. Vlade Republike Hrvatske  </w:t>
      </w:r>
    </w:p>
    <w:p w:rsidR="009520A9" w:rsidRDefault="00770482">
      <w:r>
        <w:t xml:space="preserve">- Uredba o unutarnjem ustrojstvu Ministarstva znanosti i obrazovanja </w:t>
      </w:r>
    </w:p>
    <w:p w:rsidR="009520A9" w:rsidRDefault="00770482">
      <w:r>
        <w:t xml:space="preserve">- Pravilnik o unutarnjem redu Hrvatske zaklade za znanost  </w:t>
      </w:r>
    </w:p>
    <w:p w:rsidR="009520A9" w:rsidRDefault="00770482">
      <w:r>
        <w:t xml:space="preserve">- Zakon o visokom obrazovanju i znanstvenoj djelatnosti </w:t>
      </w:r>
    </w:p>
    <w:p w:rsidR="009520A9" w:rsidRDefault="00770482">
      <w:r>
        <w:t xml:space="preserve">- Zakon o Hrvatskoj zakladi za znanost </w:t>
      </w:r>
    </w:p>
    <w:p w:rsidR="009520A9" w:rsidRDefault="00770482">
      <w:r>
        <w:t xml:space="preserve">- Nacionalni plan oporavka i otpornosti 2021.-2026.    </w:t>
      </w:r>
    </w:p>
    <w:p w:rsidR="009520A9" w:rsidRDefault="00770482">
      <w:r>
        <w:t>- Sporazum o delegiranim poslovima u sklopu  komponente C3. Obrazovanje, znanost i istraživanje, podkomponente C3.2. Podizanje istraživačkog i inovacijskog kapaciteta  u okviru Nacionalnog plana oporavka i otpornosti 2021.-2026.</w:t>
      </w:r>
    </w:p>
    <w:tbl>
      <w:tblPr>
        <w:tblStyle w:val="StilTablice"/>
        <w:tblW w:w="10206" w:type="dxa"/>
        <w:jc w:val="center"/>
        <w:tblLook w:val="04A0" w:firstRow="1" w:lastRow="0" w:firstColumn="1" w:lastColumn="0" w:noHBand="0" w:noVBand="1"/>
      </w:tblPr>
      <w:tblGrid>
        <w:gridCol w:w="1468"/>
        <w:gridCol w:w="1555"/>
        <w:gridCol w:w="1527"/>
        <w:gridCol w:w="1562"/>
        <w:gridCol w:w="1562"/>
        <w:gridCol w:w="1562"/>
        <w:gridCol w:w="970"/>
      </w:tblGrid>
      <w:tr w:rsidR="009520A9">
        <w:trPr>
          <w:jc w:val="center"/>
        </w:trPr>
        <w:tc>
          <w:tcPr>
            <w:tcW w:w="1530" w:type="dxa"/>
            <w:shd w:val="clear" w:color="auto" w:fill="B5C0D8"/>
          </w:tcPr>
          <w:p w:rsidR="009520A9" w:rsidRDefault="00770482">
            <w:pPr>
              <w:pStyle w:val="CellHeader"/>
              <w:jc w:val="center"/>
            </w:pPr>
            <w:r>
              <w:rPr>
                <w:rFonts w:cs="Times New Roman"/>
              </w:rPr>
              <w:t>Naziv aktivnosti</w:t>
            </w:r>
          </w:p>
        </w:tc>
        <w:tc>
          <w:tcPr>
            <w:tcW w:w="1632" w:type="dxa"/>
            <w:shd w:val="clear" w:color="auto" w:fill="B5C0D8"/>
          </w:tcPr>
          <w:p w:rsidR="009520A9" w:rsidRDefault="00770482">
            <w:pPr>
              <w:pStyle w:val="CellHeader"/>
              <w:jc w:val="center"/>
            </w:pPr>
            <w:r>
              <w:rPr>
                <w:rFonts w:cs="Times New Roman"/>
              </w:rPr>
              <w:t xml:space="preserve">Izvršenje </w:t>
            </w:r>
            <w:r>
              <w:rPr>
                <w:rFonts w:cs="Times New Roman"/>
              </w:rPr>
              <w:t>2022.</w:t>
            </w:r>
          </w:p>
        </w:tc>
        <w:tc>
          <w:tcPr>
            <w:tcW w:w="1632" w:type="dxa"/>
            <w:shd w:val="clear" w:color="auto" w:fill="B5C0D8"/>
          </w:tcPr>
          <w:p w:rsidR="009520A9" w:rsidRDefault="00770482">
            <w:pPr>
              <w:pStyle w:val="CellHeader"/>
              <w:jc w:val="center"/>
            </w:pPr>
            <w:r>
              <w:rPr>
                <w:rFonts w:cs="Times New Roman"/>
              </w:rPr>
              <w:t>Plan 2023.</w:t>
            </w:r>
          </w:p>
        </w:tc>
        <w:tc>
          <w:tcPr>
            <w:tcW w:w="1632" w:type="dxa"/>
            <w:shd w:val="clear" w:color="auto" w:fill="B5C0D8"/>
          </w:tcPr>
          <w:p w:rsidR="009520A9" w:rsidRDefault="00770482">
            <w:pPr>
              <w:pStyle w:val="CellHeader"/>
              <w:jc w:val="center"/>
            </w:pPr>
            <w:r>
              <w:rPr>
                <w:rFonts w:cs="Times New Roman"/>
              </w:rPr>
              <w:t>Plan 2024.</w:t>
            </w:r>
          </w:p>
        </w:tc>
        <w:tc>
          <w:tcPr>
            <w:tcW w:w="1632" w:type="dxa"/>
            <w:shd w:val="clear" w:color="auto" w:fill="B5C0D8"/>
          </w:tcPr>
          <w:p w:rsidR="009520A9" w:rsidRDefault="00770482">
            <w:pPr>
              <w:pStyle w:val="CellHeader"/>
              <w:jc w:val="center"/>
            </w:pPr>
            <w:r>
              <w:rPr>
                <w:rFonts w:cs="Times New Roman"/>
              </w:rPr>
              <w:t>Plan 2025.</w:t>
            </w:r>
          </w:p>
        </w:tc>
        <w:tc>
          <w:tcPr>
            <w:tcW w:w="1632" w:type="dxa"/>
            <w:shd w:val="clear" w:color="auto" w:fill="B5C0D8"/>
          </w:tcPr>
          <w:p w:rsidR="009520A9" w:rsidRDefault="00770482">
            <w:pPr>
              <w:pStyle w:val="CellHeader"/>
              <w:jc w:val="center"/>
            </w:pPr>
            <w:r>
              <w:rPr>
                <w:rFonts w:cs="Times New Roman"/>
              </w:rPr>
              <w:t>Plan 2026.</w:t>
            </w:r>
          </w:p>
        </w:tc>
        <w:tc>
          <w:tcPr>
            <w:tcW w:w="510" w:type="dxa"/>
            <w:shd w:val="clear" w:color="auto" w:fill="B5C0D8"/>
          </w:tcPr>
          <w:p w:rsidR="009520A9" w:rsidRDefault="00770482">
            <w:pPr>
              <w:pStyle w:val="CellHeader"/>
              <w:jc w:val="center"/>
            </w:pPr>
            <w:r>
              <w:rPr>
                <w:rFonts w:cs="Times New Roman"/>
              </w:rPr>
              <w:t>Indeks 2024/2023</w:t>
            </w:r>
          </w:p>
        </w:tc>
      </w:tr>
      <w:tr w:rsidR="009520A9">
        <w:trPr>
          <w:jc w:val="center"/>
        </w:trPr>
        <w:tc>
          <w:tcPr>
            <w:tcW w:w="1530" w:type="dxa"/>
            <w:vAlign w:val="top"/>
          </w:tcPr>
          <w:p w:rsidR="009520A9" w:rsidRDefault="00770482">
            <w:pPr>
              <w:pStyle w:val="CellColumn"/>
              <w:jc w:val="left"/>
            </w:pPr>
            <w:r>
              <w:rPr>
                <w:rFonts w:cs="Times New Roman"/>
              </w:rPr>
              <w:t>A733073</w:t>
            </w:r>
          </w:p>
        </w:tc>
        <w:tc>
          <w:tcPr>
            <w:tcW w:w="1632" w:type="dxa"/>
            <w:vAlign w:val="top"/>
          </w:tcPr>
          <w:p w:rsidR="009520A9" w:rsidRDefault="00770482">
            <w:pPr>
              <w:jc w:val="right"/>
            </w:pPr>
            <w:r>
              <w:t>00</w:t>
            </w:r>
          </w:p>
        </w:tc>
        <w:tc>
          <w:tcPr>
            <w:tcW w:w="1632" w:type="dxa"/>
            <w:vAlign w:val="top"/>
          </w:tcPr>
          <w:p w:rsidR="009520A9" w:rsidRDefault="00770482">
            <w:pPr>
              <w:jc w:val="right"/>
            </w:pPr>
            <w:r>
              <w:t>00</w:t>
            </w:r>
          </w:p>
        </w:tc>
        <w:tc>
          <w:tcPr>
            <w:tcW w:w="1632" w:type="dxa"/>
            <w:vAlign w:val="top"/>
          </w:tcPr>
          <w:p w:rsidR="009520A9" w:rsidRDefault="00770482">
            <w:pPr>
              <w:jc w:val="right"/>
            </w:pPr>
            <w:r>
              <w:t>4.986.960</w:t>
            </w:r>
          </w:p>
        </w:tc>
        <w:tc>
          <w:tcPr>
            <w:tcW w:w="1632" w:type="dxa"/>
            <w:vAlign w:val="top"/>
          </w:tcPr>
          <w:p w:rsidR="009520A9" w:rsidRDefault="00770482">
            <w:pPr>
              <w:jc w:val="right"/>
            </w:pPr>
            <w:r>
              <w:t>4.986.960</w:t>
            </w:r>
          </w:p>
        </w:tc>
        <w:tc>
          <w:tcPr>
            <w:tcW w:w="1632" w:type="dxa"/>
            <w:vAlign w:val="top"/>
          </w:tcPr>
          <w:p w:rsidR="009520A9" w:rsidRDefault="00770482">
            <w:pPr>
              <w:jc w:val="right"/>
            </w:pPr>
            <w:r>
              <w:t>7.517.237</w:t>
            </w:r>
          </w:p>
        </w:tc>
        <w:tc>
          <w:tcPr>
            <w:tcW w:w="510" w:type="dxa"/>
            <w:vAlign w:val="top"/>
          </w:tcPr>
          <w:p w:rsidR="009520A9" w:rsidRDefault="00770482">
            <w:pPr>
              <w:jc w:val="right"/>
            </w:pPr>
            <w:r>
              <w:t>0,0</w:t>
            </w:r>
          </w:p>
        </w:tc>
      </w:tr>
    </w:tbl>
    <w:p w:rsidR="009520A9" w:rsidRDefault="009520A9">
      <w:pPr>
        <w:jc w:val="left"/>
      </w:pPr>
    </w:p>
    <w:p w:rsidR="009520A9" w:rsidRDefault="00770482">
      <w:r>
        <w:t xml:space="preserve">Ova aktivnost sastoji se od sljedećih elemenata: isplate plaća mladim istraživačima zaposlenim na znanstveno-istraživačkim ustanovama u Republici Hrvatskoj </w:t>
      </w:r>
    </w:p>
    <w:p w:rsidR="009520A9" w:rsidRDefault="00770482">
      <w:r>
        <w:t>Cilj ovog Programa je zapošljavanje doktoranada na znanstveno-istraživačkim organizacijama u skladu</w:t>
      </w:r>
      <w:r>
        <w:t xml:space="preserve"> s potrebama organizacija. Doktorandi se uključuju na projekte koji se provode na organizacijama te se tako karijera mladih istraživača usmjerava prema vrhunskoj znanosti, što osigurava dugoročan i pozitivan utjecaj na sustav znanosti. </w:t>
      </w:r>
    </w:p>
    <w:p w:rsidR="009520A9" w:rsidRDefault="00770482">
      <w:r>
        <w:t>Poziv na dostavu pr</w:t>
      </w:r>
      <w:r>
        <w:t>ojektnog prijedloga „Razvoj karijera mladih istraživača – izobrazba novih doktora znanosti“, jedinstveni referentni broj NPOO.C3.2.R2-I1.03, pokrenut je na temelju Odluke Vlade Republike Hrvatske od 8. srpnja 2021. s ciljem razvijanja karijera mladih istra</w:t>
      </w:r>
      <w:r>
        <w:t xml:space="preserve">živača kroz unaprjeđenje njihovih kapaciteta i iskustva stečenog njihovim uključivanjem u istraživački rad, a isti je financiran sredstvima iz Mehanizma za oporavak i otpornost. Predmetni Poziv se odnosi na izravnu dodjelu bespovratnih sredstava Hrvatskoj </w:t>
      </w:r>
      <w:r>
        <w:t xml:space="preserve">zakladi za znanost, kao unaprijed određenom prihvatljivom prijavitelju. Hrvatska zaklada za znanost dužna je sredstva koristiti za razvoj i financiranje programa „Razvoj karijera mladih istraživača – izobrazba novih doktora znanosti,“ koji će se provoditi </w:t>
      </w:r>
      <w:r>
        <w:t>u obliku otvorenog postupka dodjele bespovratnih sredstava prema javnim istraživačkim organizacijama. Natječajem je predviđeno financiranje ukupnog troška plaće asistenta, što uključuje bruto II plaću, troškove prijevoza te ostala materijalna prava temelje</w:t>
      </w:r>
      <w:r>
        <w:t>m TKU-a, s primarnim ciljem izrade doktorskog rada i usvajanja znanja o temeljnim postavkama znanstvenog rada i istraživanja. Izračun je napravljen temeljem prosjeka troška plaće i materijalnih prava zaposlenika za 220 asistenata (1.889 EUR po osobi po mje</w:t>
      </w:r>
      <w:r>
        <w:t xml:space="preserve">secu). </w:t>
      </w:r>
    </w:p>
    <w:p w:rsidR="009520A9" w:rsidRDefault="00770482">
      <w:r>
        <w:t>S obzirom da NPOO traje do 30. lipnja 2026. iznos ukupnog troška plaće asistenta do isteka ugovora o radu financirat će se iz sredstava Državnog proračuna (Zapošljavanje asistenata u skladu sa Zakonom o visokom obrazovanju i znanstvenoj djelatnosti</w:t>
      </w:r>
      <w:r>
        <w:t xml:space="preserve"> (NN 119/22) je 5 godina u slučaju zapošljavanja na znanstvenom institutu odnosno 6 godina u slučaju zapošljavanja na visokom učilištu).</w:t>
      </w:r>
    </w:p>
    <w:p w:rsidR="009520A9" w:rsidRDefault="0077048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9520A9">
        <w:trPr>
          <w:jc w:val="center"/>
        </w:trPr>
        <w:tc>
          <w:tcPr>
            <w:tcW w:w="2245" w:type="dxa"/>
            <w:shd w:val="clear" w:color="auto" w:fill="B5C0D8"/>
          </w:tcPr>
          <w:p w:rsidR="009520A9" w:rsidRDefault="00770482">
            <w:pPr>
              <w:jc w:val="center"/>
            </w:pPr>
            <w:r>
              <w:t>Pokazatelj rezultata</w:t>
            </w:r>
          </w:p>
        </w:tc>
        <w:tc>
          <w:tcPr>
            <w:tcW w:w="2245" w:type="dxa"/>
            <w:shd w:val="clear" w:color="auto" w:fill="B5C0D8"/>
          </w:tcPr>
          <w:p w:rsidR="009520A9" w:rsidRDefault="00770482">
            <w:pPr>
              <w:pStyle w:val="CellHeader"/>
              <w:jc w:val="center"/>
            </w:pPr>
            <w:r>
              <w:rPr>
                <w:rFonts w:cs="Times New Roman"/>
              </w:rPr>
              <w:t>Definicija</w:t>
            </w:r>
          </w:p>
        </w:tc>
        <w:tc>
          <w:tcPr>
            <w:tcW w:w="918" w:type="dxa"/>
            <w:shd w:val="clear" w:color="auto" w:fill="B5C0D8"/>
          </w:tcPr>
          <w:p w:rsidR="009520A9" w:rsidRDefault="00770482">
            <w:pPr>
              <w:pStyle w:val="CellHeader"/>
              <w:jc w:val="center"/>
            </w:pPr>
            <w:r>
              <w:rPr>
                <w:rFonts w:cs="Times New Roman"/>
              </w:rPr>
              <w:t>Jedinica</w:t>
            </w:r>
          </w:p>
        </w:tc>
        <w:tc>
          <w:tcPr>
            <w:tcW w:w="918" w:type="dxa"/>
            <w:shd w:val="clear" w:color="auto" w:fill="B5C0D8"/>
          </w:tcPr>
          <w:p w:rsidR="009520A9" w:rsidRDefault="00770482">
            <w:pPr>
              <w:pStyle w:val="CellHeader"/>
              <w:jc w:val="center"/>
            </w:pPr>
            <w:r>
              <w:rPr>
                <w:rFonts w:cs="Times New Roman"/>
              </w:rPr>
              <w:t>Polazna vrijednost</w:t>
            </w:r>
          </w:p>
        </w:tc>
        <w:tc>
          <w:tcPr>
            <w:tcW w:w="918" w:type="dxa"/>
            <w:shd w:val="clear" w:color="auto" w:fill="B5C0D8"/>
          </w:tcPr>
          <w:p w:rsidR="009520A9" w:rsidRDefault="00770482">
            <w:pPr>
              <w:pStyle w:val="CellHeader"/>
              <w:jc w:val="center"/>
            </w:pPr>
            <w:r>
              <w:rPr>
                <w:rFonts w:cs="Times New Roman"/>
              </w:rPr>
              <w:t>Izvor podataka</w:t>
            </w:r>
          </w:p>
        </w:tc>
        <w:tc>
          <w:tcPr>
            <w:tcW w:w="918" w:type="dxa"/>
            <w:shd w:val="clear" w:color="auto" w:fill="B5C0D8"/>
          </w:tcPr>
          <w:p w:rsidR="009520A9" w:rsidRDefault="00770482">
            <w:pPr>
              <w:pStyle w:val="CellHeader"/>
              <w:jc w:val="center"/>
            </w:pPr>
            <w:r>
              <w:rPr>
                <w:rFonts w:cs="Times New Roman"/>
              </w:rPr>
              <w:t>Ciljana vrijednost (20</w:t>
            </w:r>
            <w:r>
              <w:rPr>
                <w:rFonts w:cs="Times New Roman"/>
              </w:rPr>
              <w:t>24.)</w:t>
            </w:r>
          </w:p>
        </w:tc>
        <w:tc>
          <w:tcPr>
            <w:tcW w:w="918" w:type="dxa"/>
            <w:shd w:val="clear" w:color="auto" w:fill="B5C0D8"/>
          </w:tcPr>
          <w:p w:rsidR="009520A9" w:rsidRDefault="00770482">
            <w:pPr>
              <w:pStyle w:val="CellHeader"/>
              <w:jc w:val="center"/>
            </w:pPr>
            <w:r>
              <w:rPr>
                <w:rFonts w:cs="Times New Roman"/>
              </w:rPr>
              <w:t>Ciljana vrijednost (2025.)</w:t>
            </w:r>
          </w:p>
        </w:tc>
        <w:tc>
          <w:tcPr>
            <w:tcW w:w="918" w:type="dxa"/>
            <w:shd w:val="clear" w:color="auto" w:fill="B5C0D8"/>
          </w:tcPr>
          <w:p w:rsidR="009520A9" w:rsidRDefault="00770482">
            <w:pPr>
              <w:pStyle w:val="CellHeader"/>
              <w:jc w:val="center"/>
            </w:pPr>
            <w:r>
              <w:rPr>
                <w:rFonts w:cs="Times New Roman"/>
              </w:rPr>
              <w:t>Ciljana vrijednost (2026.)</w:t>
            </w:r>
          </w:p>
        </w:tc>
      </w:tr>
      <w:tr w:rsidR="009520A9">
        <w:trPr>
          <w:jc w:val="center"/>
        </w:trPr>
        <w:tc>
          <w:tcPr>
            <w:tcW w:w="2245" w:type="dxa"/>
            <w:vAlign w:val="top"/>
          </w:tcPr>
          <w:p w:rsidR="009520A9" w:rsidRDefault="00770482">
            <w:pPr>
              <w:pStyle w:val="CellColumn"/>
              <w:jc w:val="left"/>
            </w:pPr>
            <w:r>
              <w:rPr>
                <w:rFonts w:cs="Times New Roman"/>
              </w:rPr>
              <w:t>Broj zaposlenih doktoranada</w:t>
            </w:r>
          </w:p>
        </w:tc>
        <w:tc>
          <w:tcPr>
            <w:tcW w:w="2245" w:type="dxa"/>
            <w:vAlign w:val="top"/>
          </w:tcPr>
          <w:p w:rsidR="009520A9" w:rsidRDefault="00770482">
            <w:pPr>
              <w:pStyle w:val="CellColumn"/>
              <w:jc w:val="left"/>
            </w:pPr>
            <w:r>
              <w:rPr>
                <w:rFonts w:cs="Times New Roman"/>
              </w:rPr>
              <w:t>Broj doktoranada koji se zapošljavaju na znanstveno-istraživačkim institucijama</w:t>
            </w:r>
          </w:p>
        </w:tc>
        <w:tc>
          <w:tcPr>
            <w:tcW w:w="918" w:type="dxa"/>
          </w:tcPr>
          <w:p w:rsidR="009520A9" w:rsidRDefault="00770482">
            <w:pPr>
              <w:jc w:val="center"/>
            </w:pPr>
            <w:r>
              <w:t>Broj</w:t>
            </w:r>
          </w:p>
        </w:tc>
        <w:tc>
          <w:tcPr>
            <w:tcW w:w="918" w:type="dxa"/>
          </w:tcPr>
          <w:p w:rsidR="009520A9" w:rsidRDefault="00770482">
            <w:pPr>
              <w:jc w:val="center"/>
            </w:pPr>
            <w:r>
              <w:t>0</w:t>
            </w:r>
          </w:p>
        </w:tc>
        <w:tc>
          <w:tcPr>
            <w:tcW w:w="918" w:type="dxa"/>
          </w:tcPr>
          <w:p w:rsidR="009520A9" w:rsidRDefault="00770482">
            <w:pPr>
              <w:pStyle w:val="CellColumn"/>
              <w:jc w:val="center"/>
            </w:pPr>
            <w:r>
              <w:rPr>
                <w:rFonts w:cs="Times New Roman"/>
              </w:rPr>
              <w:t>NPOO</w:t>
            </w:r>
          </w:p>
        </w:tc>
        <w:tc>
          <w:tcPr>
            <w:tcW w:w="918" w:type="dxa"/>
          </w:tcPr>
          <w:p w:rsidR="009520A9" w:rsidRDefault="00770482">
            <w:pPr>
              <w:jc w:val="center"/>
            </w:pPr>
            <w:r>
              <w:t>100</w:t>
            </w:r>
          </w:p>
        </w:tc>
        <w:tc>
          <w:tcPr>
            <w:tcW w:w="918" w:type="dxa"/>
          </w:tcPr>
          <w:p w:rsidR="009520A9" w:rsidRDefault="00770482">
            <w:pPr>
              <w:jc w:val="center"/>
            </w:pPr>
            <w:r>
              <w:t>100</w:t>
            </w:r>
          </w:p>
        </w:tc>
        <w:tc>
          <w:tcPr>
            <w:tcW w:w="918" w:type="dxa"/>
          </w:tcPr>
          <w:p w:rsidR="009520A9" w:rsidRDefault="00770482">
            <w:pPr>
              <w:jc w:val="center"/>
            </w:pPr>
            <w:r>
              <w:t>100</w:t>
            </w:r>
          </w:p>
        </w:tc>
      </w:tr>
    </w:tbl>
    <w:p w:rsidR="009520A9" w:rsidRDefault="009520A9">
      <w:pPr>
        <w:jc w:val="left"/>
      </w:pPr>
    </w:p>
    <w:sectPr w:rsidR="009520A9"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82" w:rsidRDefault="00770482" w:rsidP="00F352E6">
      <w:r>
        <w:separator/>
      </w:r>
    </w:p>
  </w:endnote>
  <w:endnote w:type="continuationSeparator" w:id="0">
    <w:p w:rsidR="00770482" w:rsidRDefault="00770482"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770482"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82" w:rsidRDefault="00770482" w:rsidP="00F352E6">
      <w:r>
        <w:separator/>
      </w:r>
    </w:p>
  </w:footnote>
  <w:footnote w:type="continuationSeparator" w:id="0">
    <w:p w:rsidR="00770482" w:rsidRDefault="00770482"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770482"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E5246"/>
    <w:rsid w:val="0027042C"/>
    <w:rsid w:val="00311AA1"/>
    <w:rsid w:val="00382225"/>
    <w:rsid w:val="00386953"/>
    <w:rsid w:val="00463609"/>
    <w:rsid w:val="00480C76"/>
    <w:rsid w:val="004C01B5"/>
    <w:rsid w:val="0052289C"/>
    <w:rsid w:val="00524A66"/>
    <w:rsid w:val="00526A7C"/>
    <w:rsid w:val="005A70C0"/>
    <w:rsid w:val="005B6ED7"/>
    <w:rsid w:val="005E2D85"/>
    <w:rsid w:val="00633683"/>
    <w:rsid w:val="00674346"/>
    <w:rsid w:val="006B3283"/>
    <w:rsid w:val="006F3371"/>
    <w:rsid w:val="007665AA"/>
    <w:rsid w:val="00770482"/>
    <w:rsid w:val="007A7E45"/>
    <w:rsid w:val="007D1C46"/>
    <w:rsid w:val="007D395B"/>
    <w:rsid w:val="007D4430"/>
    <w:rsid w:val="00847495"/>
    <w:rsid w:val="008636E2"/>
    <w:rsid w:val="008A7E2A"/>
    <w:rsid w:val="009359F2"/>
    <w:rsid w:val="0094382E"/>
    <w:rsid w:val="00951B1A"/>
    <w:rsid w:val="009520A9"/>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E2416"/>
    <w:rsid w:val="00E42E87"/>
    <w:rsid w:val="00E62EF0"/>
    <w:rsid w:val="00ED0E3A"/>
    <w:rsid w:val="00F352E6"/>
    <w:rsid w:val="00F67315"/>
    <w:rsid w:val="00F91724"/>
    <w:rsid w:val="00F92AEE"/>
    <w:rsid w:val="00F96B0C"/>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ED41-879C-4954-9761-E6349DEE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53078</Words>
  <Characters>302547</Characters>
  <Application>Microsoft Office Word</Application>
  <DocSecurity>0</DocSecurity>
  <Lines>2521</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Maja Budić</cp:lastModifiedBy>
  <cp:revision>2</cp:revision>
  <dcterms:created xsi:type="dcterms:W3CDTF">2024-02-27T14:17:00Z</dcterms:created>
  <dcterms:modified xsi:type="dcterms:W3CDTF">2024-02-27T14:17:00Z</dcterms:modified>
</cp:coreProperties>
</file>